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84" w:firstLine="567"/>
        <w:rPr>
          <w:rFonts w:ascii="Cambria" w:hAnsi="Cambria" w:cs="Cambria"/>
          <w:b/>
          <w:bCs/>
          <w:sz w:val="24"/>
          <w:szCs w:val="24"/>
        </w:rPr>
      </w:pPr>
    </w:p>
    <w:p>
      <w:pPr>
        <w:ind w:right="-284" w:firstLine="567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4"/>
          <w:szCs w:val="24"/>
        </w:rPr>
        <w:t>Федеральное государственное бюджетное образовательное</w:t>
      </w:r>
    </w:p>
    <w:p>
      <w:pPr>
        <w:ind w:right="-284" w:firstLine="567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4"/>
          <w:szCs w:val="24"/>
        </w:rPr>
        <w:t>учреждение высшего образования</w:t>
      </w: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</w:rPr>
        <w:t>«МОСКОВСКИЙ ГОСУДАРСТВЕННЫЙ УНИВЕРСИТЕТ ИМЕНИ</w:t>
      </w:r>
      <w:r>
        <w:rPr>
          <w:rFonts w:ascii="Cambria" w:hAnsi="Cambria" w:cs="Cambria"/>
          <w:b/>
          <w:bCs/>
          <w:lang w:val="en-US"/>
        </w:rPr>
        <w:t> </w:t>
      </w:r>
      <w:r>
        <w:rPr>
          <w:rFonts w:ascii="Cambria" w:hAnsi="Cambria" w:cs="Cambria"/>
          <w:b/>
          <w:bCs/>
        </w:rPr>
        <w:t>М.В.ЛОМОНОСОВА»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color w:val="auto"/>
          <w:sz w:val="28"/>
          <w:szCs w:val="28"/>
        </w:rPr>
      </w:pPr>
      <w:r>
        <w:rPr>
          <w:rFonts w:ascii="Cambria" w:hAnsi="Cambria" w:cs="Cambria"/>
          <w:color w:val="auto"/>
        </w:rPr>
        <w:t>ЮРИДИЧЕСКИЙ ФАКУЛЬТЕТ</w:t>
      </w:r>
    </w:p>
    <w:p>
      <w:pPr>
        <w:pStyle w:val="16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>
      <w:pPr>
        <w:pStyle w:val="16"/>
        <w:spacing w:line="360" w:lineRule="auto"/>
        <w:jc w:val="right"/>
      </w:pP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</w:rPr>
      </w:pP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Утверждено Ученым Советом </w:t>
      </w:r>
      <w:r>
        <w:rPr>
          <w:rFonts w:ascii="Cambria" w:hAnsi="Cambria" w:cs="Cambria"/>
          <w:b/>
          <w:bCs/>
        </w:rPr>
        <w:br w:type="textWrapping"/>
      </w:r>
      <w:r>
        <w:rPr>
          <w:rFonts w:ascii="Cambria" w:hAnsi="Cambria" w:cs="Cambria"/>
          <w:b/>
          <w:bCs/>
        </w:rPr>
        <w:t>МГУ имени М.В.Ломоносов</w:t>
      </w: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</w:rPr>
      </w:pP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</w:rPr>
        <w:t>Протокол №______ от_______________</w:t>
      </w:r>
    </w:p>
    <w:p>
      <w:pPr>
        <w:pStyle w:val="16"/>
        <w:jc w:val="right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Основная профессиональная образовательная программа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высшего образования</w:t>
      </w: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Направление подготовки (специальность) высшего образования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40.03.01 ЮРИСПРУДЕНЦИЯ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Направленность (профиль) программы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ГРАЖДАНСКО-ПРАВОВОЙ ПРОФИЛЬ</w:t>
      </w: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Уровень высшего образования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Бакалавриат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Москва</w:t>
      </w:r>
    </w:p>
    <w:p>
      <w:pPr>
        <w:pStyle w:val="16"/>
        <w:spacing w:line="360" w:lineRule="auto"/>
        <w:jc w:val="center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  <w:sz w:val="28"/>
          <w:szCs w:val="28"/>
        </w:rPr>
        <w:t>2019 год</w:t>
      </w:r>
    </w:p>
    <w:p>
      <w:pPr>
        <w:pStyle w:val="33"/>
        <w:rPr>
          <w:rFonts w:ascii="Cambria" w:hAnsi="Cambria" w:cs="Cambria"/>
          <w:b w:val="0"/>
          <w:bCs w:val="0"/>
          <w:i/>
          <w:iCs/>
          <w:sz w:val="24"/>
          <w:szCs w:val="24"/>
        </w:rPr>
      </w:pPr>
      <w:r>
        <w:rPr>
          <w:rFonts w:ascii="Cambria" w:hAnsi="Cambria" w:cs="Cambria"/>
          <w:b w:val="0"/>
          <w:bCs w:val="0"/>
          <w:i/>
          <w:iCs/>
          <w:sz w:val="22"/>
          <w:szCs w:val="22"/>
          <w:highlight w:val="lightGray"/>
        </w:rPr>
        <w:br w:type="page"/>
      </w:r>
      <w:r>
        <w:rPr>
          <w:rFonts w:ascii="Cambria" w:hAnsi="Cambria" w:cs="Cambria"/>
          <w:b w:val="0"/>
          <w:bCs w:val="0"/>
          <w:i/>
          <w:iCs/>
          <w:sz w:val="24"/>
          <w:szCs w:val="24"/>
          <w:highlight w:val="lightGray"/>
        </w:rPr>
        <w:t>На оборотной стороне титульного листа указывается:</w:t>
      </w:r>
    </w:p>
    <w:p>
      <w:pPr>
        <w:pStyle w:val="33"/>
        <w:rPr>
          <w:rFonts w:ascii="Cambria" w:hAnsi="Cambria" w:cs="Cambria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Основная профессиональная образовательная программ  разработана в соответствии с Федеральным государственным образовательным стандартом высшего образования по направлению подготовки 40.03.01 Юриспруденция (уровень бакалавриата), утвержденного Приказом Министерства образования и науки Российской Федерации  от 01 декабря 2016 г. № 1511</w:t>
      </w:r>
    </w:p>
    <w:p>
      <w:pPr>
        <w:pStyle w:val="33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b w:val="0"/>
          <w:bCs w:val="0"/>
          <w:i/>
          <w:iCs/>
          <w:sz w:val="22"/>
          <w:szCs w:val="22"/>
          <w:highlight w:val="lightGray"/>
        </w:rPr>
        <w:br w:type="page"/>
      </w:r>
    </w:p>
    <w:p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УТВЕРЖДЕНО </w:t>
      </w:r>
    </w:p>
    <w:p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Ученым советом Юридического факультета</w:t>
      </w:r>
    </w:p>
    <w:p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Протокол № _________от____________________</w:t>
      </w:r>
    </w:p>
    <w:p>
      <w:pPr>
        <w:ind w:left="474" w:hanging="14"/>
        <w:jc w:val="right"/>
        <w:rPr>
          <w:rFonts w:ascii="Cambria" w:hAnsi="Cambria" w:cs="Cambria"/>
          <w:sz w:val="24"/>
          <w:szCs w:val="24"/>
        </w:rPr>
      </w:pPr>
    </w:p>
    <w:p>
      <w:pPr>
        <w:ind w:left="474" w:hanging="14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Декан Юридического факультета</w:t>
      </w:r>
    </w:p>
    <w:p>
      <w:pPr>
        <w:ind w:left="474" w:hanging="14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</w:t>
      </w:r>
    </w:p>
    <w:p>
      <w:pPr>
        <w:jc w:val="center"/>
        <w:rPr>
          <w:rFonts w:ascii="Cambria" w:hAnsi="Cambria" w:cs="Cambria"/>
          <w:i/>
          <w:iCs/>
        </w:rPr>
      </w:pPr>
    </w:p>
    <w:p>
      <w:pPr>
        <w:jc w:val="right"/>
      </w:pPr>
      <w:r>
        <w:rPr>
          <w:rFonts w:ascii="Cambria" w:hAnsi="Cambria" w:cs="Cambria"/>
          <w:sz w:val="24"/>
          <w:szCs w:val="24"/>
        </w:rPr>
        <w:t>«___» _______ 201_ г.</w:t>
      </w: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2"/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ОБЩАЯ ХАРАКТЕРИСТИКА ОСНОВНОЙ ПРОФЕССИОНАЛЬНОЙ</w:t>
      </w:r>
      <w:r>
        <w:rPr>
          <w:rFonts w:ascii="Cambria" w:hAnsi="Cambria" w:cs="Cambria"/>
          <w:lang w:val="ru-RU"/>
        </w:rPr>
        <w:t xml:space="preserve"> </w:t>
      </w:r>
      <w:r>
        <w:rPr>
          <w:rFonts w:ascii="Cambria" w:hAnsi="Cambria" w:cs="Cambria"/>
        </w:rPr>
        <w:t>ОБРАЗОВАТЕЛЬНОЙ ПРОГРАММЫ ВЫСШЕГО ОБРАЗОВАНИЯ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Направление подготовки (специальность) высшего образования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ЮРИСПРУДЕНЦИЯ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Направленность (профиль) программы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ГРАЖДАНСКО-ПРАВОВОЙ</w:t>
      </w:r>
      <w:r>
        <w:rPr>
          <w:rFonts w:ascii="Cambria" w:hAnsi="Cambria" w:cs="Cambria"/>
          <w:b/>
          <w:bCs/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ПРОФИЛЬ</w:t>
      </w:r>
    </w:p>
    <w:p>
      <w:pPr>
        <w:pStyle w:val="16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Уровень высшего образования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Бакалавриат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Москва</w:t>
      </w:r>
    </w:p>
    <w:p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2019 год</w:t>
      </w:r>
    </w:p>
    <w:p>
      <w:pPr>
        <w:jc w:val="center"/>
        <w:rPr>
          <w:sz w:val="28"/>
          <w:szCs w:val="28"/>
        </w:rPr>
      </w:pPr>
    </w:p>
    <w:p>
      <w:pPr>
        <w:spacing w:line="312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Определения и сокращения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ФГОС ВО</w:t>
      </w:r>
      <w:r>
        <w:rPr>
          <w:rFonts w:ascii="Cambria" w:hAnsi="Cambria" w:cs="Cambria"/>
          <w:sz w:val="24"/>
          <w:szCs w:val="24"/>
        </w:rPr>
        <w:t xml:space="preserve">– федеральный государственный образовательный стандарт высшего образования; 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  <w:lang w:eastAsia="en-US"/>
        </w:rPr>
        <w:t>ОПОП ВО</w:t>
      </w:r>
      <w:r>
        <w:rPr>
          <w:rFonts w:ascii="Cambria" w:hAnsi="Cambria" w:cs="Cambria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  <w:lang w:eastAsia="en-US"/>
        </w:rPr>
        <w:t xml:space="preserve"> основная профессиональная образовательная программа высшего образования </w:t>
      </w:r>
      <w:r>
        <w:rPr>
          <w:rFonts w:ascii="Cambria" w:hAnsi="Cambria" w:cs="Cambria"/>
          <w:sz w:val="24"/>
          <w:szCs w:val="24"/>
        </w:rPr>
        <w:t xml:space="preserve">– </w:t>
      </w:r>
      <w:r>
        <w:rPr>
          <w:rFonts w:ascii="Cambria" w:hAnsi="Cambria" w:cs="Cambria"/>
          <w:sz w:val="24"/>
          <w:szCs w:val="24"/>
          <w:lang w:eastAsia="en-US"/>
        </w:rPr>
        <w:t>программа бакалавриата</w:t>
      </w:r>
      <w:r>
        <w:rPr>
          <w:rFonts w:ascii="Cambria" w:hAnsi="Cambria" w:cs="Cambria"/>
          <w:sz w:val="24"/>
          <w:szCs w:val="24"/>
        </w:rPr>
        <w:t>;</w:t>
      </w:r>
    </w:p>
    <w:p>
      <w:pPr>
        <w:spacing w:line="312" w:lineRule="auto"/>
        <w:ind w:firstLine="709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pacing w:val="-1"/>
          <w:sz w:val="24"/>
          <w:szCs w:val="24"/>
        </w:rPr>
        <w:t xml:space="preserve">Зачетная единица (з.е.) –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унифицированная единица измерения трудоемкости учебной нагрузки обучающегося при освоении </w:t>
      </w:r>
      <w:r>
        <w:rPr>
          <w:rFonts w:ascii="Cambria" w:hAnsi="Cambria" w:cs="Cambria"/>
          <w:color w:val="000000"/>
          <w:spacing w:val="5"/>
          <w:sz w:val="24"/>
          <w:szCs w:val="24"/>
        </w:rPr>
        <w:t xml:space="preserve">ОПОП ВО (отдельных элементов ОПОП ВО), включающая в себя все виды учебной деятельности обучающегося, предусмотренные учебным планом для достижения планируемых результатов обучения. </w:t>
      </w:r>
      <w:r>
        <w:rPr>
          <w:rFonts w:ascii="Cambria" w:hAnsi="Cambria" w:cs="Cambria"/>
          <w:color w:val="000000"/>
          <w:sz w:val="24"/>
          <w:szCs w:val="24"/>
        </w:rPr>
        <w:t>Одна зачетная единица соответствует 36 академическим часам. Объем структурных элементов ОПОП ВО выражается целым числом зачетных единиц. При реализации совместных образовательных программ величина зачетной единицы может составлять не менее 25 и не более 30 астрономических часов (установленная величина зачетной единицы должна быть единой в рамках ОПОП ВО);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ФОС </w:t>
      </w:r>
      <w:r>
        <w:rPr>
          <w:rFonts w:ascii="Cambria" w:hAnsi="Cambria" w:cs="Cambria"/>
          <w:i/>
          <w:iCs/>
          <w:color w:val="000000"/>
          <w:spacing w:val="-1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</w:rPr>
        <w:t xml:space="preserve"> система методических и контрольно-измерительных материалов, предназначенных для оценивания уровня знаний, умений, навыков и (или) опыта деятельности, компетенций обучающихся по программам бакалавриата, программам магистратуры, программы специалитета;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ОК</w:t>
      </w:r>
      <w:r>
        <w:rPr>
          <w:rFonts w:ascii="Cambria" w:hAnsi="Cambria" w:cs="Cambria"/>
          <w:sz w:val="24"/>
          <w:szCs w:val="24"/>
        </w:rPr>
        <w:t xml:space="preserve"> – общекультурные компетенции выпускников ОПОП ВО;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ОПК</w:t>
      </w:r>
      <w:r>
        <w:rPr>
          <w:rFonts w:ascii="Cambria" w:hAnsi="Cambria" w:cs="Cambria"/>
          <w:sz w:val="24"/>
          <w:szCs w:val="24"/>
        </w:rPr>
        <w:t xml:space="preserve"> – общепрофессиональные компетенции выпускников ОПОП ВО;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ПК</w:t>
      </w:r>
      <w:r>
        <w:rPr>
          <w:rFonts w:ascii="Cambria" w:hAnsi="Cambria" w:cs="Cambria"/>
          <w:sz w:val="24"/>
          <w:szCs w:val="24"/>
        </w:rPr>
        <w:t xml:space="preserve"> – профессиональные компетенции выпускников ОПОП ВО;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Сетевая форма</w:t>
      </w:r>
      <w:r>
        <w:rPr>
          <w:rFonts w:ascii="Cambria" w:hAnsi="Cambria" w:cs="Cambria"/>
          <w:sz w:val="24"/>
          <w:szCs w:val="24"/>
        </w:rPr>
        <w:t xml:space="preserve"> – сетевая форма реализации ОПОП ВО.</w:t>
      </w:r>
    </w:p>
    <w:p>
      <w:pPr>
        <w:spacing w:line="312" w:lineRule="auto"/>
      </w:pPr>
    </w:p>
    <w:p>
      <w:pPr>
        <w:spacing w:line="312" w:lineRule="auto"/>
        <w:ind w:firstLine="540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Нормативные правовые документы</w:t>
      </w:r>
    </w:p>
    <w:p>
      <w:pPr>
        <w:spacing w:line="312" w:lineRule="auto"/>
        <w:ind w:firstLine="596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Федеральный закон Российской Федерации «Об образовании в Российской Федерации» от 29 декабря 2012 г. № 273-ФЗ.</w:t>
      </w:r>
    </w:p>
    <w:p>
      <w:pPr>
        <w:spacing w:line="312" w:lineRule="auto"/>
        <w:ind w:firstLine="596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Федеральный закон Российской Федерации «О Московском государственном университете имени М.В.Ломоносова и Санкт-Петербургском государственном университете» от 10 ноября 2009 г. № 259-ФЗ.</w:t>
      </w:r>
    </w:p>
    <w:p>
      <w:pPr>
        <w:spacing w:line="312" w:lineRule="auto"/>
        <w:ind w:firstLine="596"/>
        <w:jc w:val="both"/>
        <w:rPr>
          <w:rFonts w:ascii="Cambria" w:hAnsi="Cambria" w:cs="Cambria"/>
          <w:i/>
          <w:iCs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40.03.01 Юриспруденция (уровень бакалавриата), утвержден Приказом министерства образования и науки России от 01 декабря 2016 г. № 1511.</w:t>
      </w:r>
    </w:p>
    <w:p>
      <w:pPr>
        <w:spacing w:line="312" w:lineRule="auto"/>
        <w:ind w:firstLine="70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 образования и науки Российской Федерации от 05 апреля 2017 г. № 301.</w:t>
      </w:r>
    </w:p>
    <w:p>
      <w:pPr>
        <w:spacing w:line="312" w:lineRule="auto"/>
        <w:ind w:firstLine="708"/>
        <w:jc w:val="both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</w:t>
      </w:r>
      <w:r>
        <w:rPr>
          <w:rFonts w:ascii="Cambria" w:hAnsi="Cambria" w:cs="Cambria"/>
          <w:color w:val="000000"/>
          <w:sz w:val="24"/>
          <w:szCs w:val="24"/>
        </w:rPr>
        <w:t>Министерства образования и науки Российской Федерации</w:t>
      </w:r>
      <w:r>
        <w:rPr>
          <w:rFonts w:ascii="Cambria" w:hAnsi="Cambria" w:cs="Cambria"/>
          <w:sz w:val="24"/>
          <w:szCs w:val="24"/>
          <w:lang w:eastAsia="en-US"/>
        </w:rPr>
        <w:t xml:space="preserve"> от 29 июня 2015 г. № 636.</w:t>
      </w:r>
    </w:p>
    <w:p>
      <w:pPr>
        <w:spacing w:line="312" w:lineRule="auto"/>
        <w:ind w:firstLine="708"/>
        <w:jc w:val="both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r>
        <w:rPr>
          <w:rFonts w:ascii="Cambria" w:hAnsi="Cambria" w:cs="Cambria"/>
          <w:color w:val="000000"/>
          <w:sz w:val="24"/>
          <w:szCs w:val="24"/>
        </w:rPr>
        <w:t>Министерства образования и науки Российской Федерации</w:t>
      </w:r>
      <w:r>
        <w:rPr>
          <w:rFonts w:ascii="Cambria" w:hAnsi="Cambria" w:cs="Cambria"/>
          <w:sz w:val="24"/>
          <w:szCs w:val="24"/>
          <w:lang w:eastAsia="en-US"/>
        </w:rPr>
        <w:t xml:space="preserve"> от 27 ноября 2015 г. № 1383.</w:t>
      </w:r>
    </w:p>
    <w:p>
      <w:pPr>
        <w:spacing w:line="312" w:lineRule="auto"/>
        <w:ind w:firstLine="70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Устав МГУ</w:t>
      </w:r>
      <w:r>
        <w:rPr>
          <w:rFonts w:ascii="Cambria" w:hAnsi="Cambria" w:cs="Cambria"/>
          <w:color w:val="000000"/>
          <w:sz w:val="24"/>
          <w:szCs w:val="24"/>
        </w:rPr>
        <w:t xml:space="preserve"> имени М.В.Ломоносова.</w:t>
      </w:r>
    </w:p>
    <w:p>
      <w:pPr>
        <w:pStyle w:val="2"/>
        <w:spacing w:line="312" w:lineRule="auto"/>
        <w:jc w:val="both"/>
        <w:rPr>
          <w:rFonts w:ascii="Cambria" w:hAnsi="Cambria" w:cs="Cambria"/>
        </w:rPr>
      </w:pPr>
    </w:p>
    <w:p>
      <w:pPr>
        <w:pStyle w:val="2"/>
        <w:spacing w:line="312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1. Общие сведения об образовательной программе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1.1. Основная профессиональная образовательная программа высшего образования – программа бакалавриата (далее – ОПОП</w:t>
      </w:r>
      <w:r>
        <w:rPr>
          <w:rFonts w:ascii="Cambria" w:hAnsi="Cambria" w:cs="Cambria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sz w:val="24"/>
          <w:szCs w:val="24"/>
        </w:rPr>
        <w:t>ВО), реализуемая на Юридическом факультете МГУ по направлению подготовки 40.03.01 Юриспруденция направленность (профиль) «Гражданско-правовой профиль», представляет собой систему документов, разработанную и утвержденную МГУ имени М.В.Ломоносова в соответствии с требованиями ФГОС ВО по направлению подготовки 40.03.01 Юриспруденция (уровень бакалавриата).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ОПОП ВО включает в себя: общую характеристику образовательной программы, учебный план, календарный учебный график, рабочие программы дисциплин (модулей), программы практики, в том числе научно-исследовательской работы, оценочные и методические материалы.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pacing w:val="-7"/>
          <w:sz w:val="24"/>
          <w:szCs w:val="24"/>
        </w:rPr>
        <w:t xml:space="preserve">1.2. Квалификация, присваиваемая выпускнику </w:t>
      </w:r>
      <w:r>
        <w:rPr>
          <w:rFonts w:ascii="Cambria" w:hAnsi="Cambria" w:cs="Cambria"/>
          <w:sz w:val="24"/>
          <w:szCs w:val="24"/>
        </w:rPr>
        <w:t xml:space="preserve">ОПОП ВО: </w:t>
      </w:r>
      <w:r>
        <w:rPr>
          <w:rFonts w:ascii="Cambria" w:hAnsi="Cambria" w:cs="Cambria"/>
          <w:spacing w:val="-7"/>
          <w:sz w:val="24"/>
          <w:szCs w:val="24"/>
        </w:rPr>
        <w:t>«бакалавр».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pacing w:val="-7"/>
          <w:sz w:val="24"/>
          <w:szCs w:val="24"/>
        </w:rPr>
        <w:t>1.3. Объем образовательной программы: 240 зачетных единиц (далее – з.е.).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1.4. Форма обучения</w:t>
      </w:r>
      <w:r>
        <w:rPr>
          <w:rFonts w:ascii="Cambria" w:hAnsi="Cambria" w:cs="Cambria"/>
          <w:spacing w:val="-7"/>
          <w:sz w:val="24"/>
          <w:szCs w:val="24"/>
        </w:rPr>
        <w:t>: очно-заочная (вечерняя) форма обучения.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pacing w:val="-7"/>
          <w:sz w:val="24"/>
          <w:szCs w:val="24"/>
        </w:rPr>
        <w:t>1.5. Срок получения образования: 5 лет.</w:t>
      </w:r>
    </w:p>
    <w:p>
      <w:pPr>
        <w:spacing w:line="312" w:lineRule="auto"/>
        <w:ind w:firstLine="59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1.6. Язык (языки) образования:</w:t>
      </w:r>
    </w:p>
    <w:p>
      <w:pPr>
        <w:spacing w:line="312" w:lineRule="auto"/>
        <w:ind w:firstLine="59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Образовательная деятельность по </w:t>
      </w:r>
      <w:r>
        <w:rPr>
          <w:rFonts w:ascii="Cambria" w:hAnsi="Cambria" w:cs="Cambria"/>
          <w:color w:val="000000"/>
          <w:sz w:val="24"/>
          <w:szCs w:val="24"/>
        </w:rPr>
        <w:t>ОПОП ВО</w:t>
      </w:r>
      <w:r>
        <w:rPr>
          <w:rFonts w:ascii="Cambria" w:hAnsi="Cambria" w:cs="Cambria"/>
          <w:sz w:val="24"/>
          <w:szCs w:val="24"/>
        </w:rPr>
        <w:t xml:space="preserve"> осуществляется на государственном языке Российской Федерации и в соответствии с ФГОС ВО по направлению подготовки 40.03.01 Юриспруденция.</w:t>
      </w:r>
    </w:p>
    <w:p>
      <w:pPr>
        <w:spacing w:line="312" w:lineRule="auto"/>
        <w:ind w:firstLine="595"/>
        <w:jc w:val="both"/>
        <w:rPr>
          <w:rFonts w:ascii="Cambria" w:hAnsi="Cambria" w:cs="Cambria"/>
          <w:i/>
          <w:iCs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1.7. Тип ОПОП ВО: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ОПОП ВО является программой </w:t>
      </w:r>
      <w:r>
        <w:rPr>
          <w:rFonts w:ascii="Cambria" w:hAnsi="Cambria" w:cs="Cambria"/>
          <w:color w:val="000000"/>
          <w:sz w:val="24"/>
          <w:szCs w:val="24"/>
        </w:rPr>
        <w:t>прикладного</w:t>
      </w:r>
      <w:r>
        <w:rPr>
          <w:rFonts w:ascii="Cambria" w:hAnsi="Cambria" w:cs="Cambria"/>
          <w:sz w:val="24"/>
          <w:szCs w:val="24"/>
        </w:rPr>
        <w:t xml:space="preserve"> типа и направлена на подготовку к практическому виду профессиональной деятельности как основному.</w:t>
      </w:r>
    </w:p>
    <w:p>
      <w:pPr>
        <w:shd w:val="clear" w:color="auto" w:fill="FFFFFF"/>
        <w:spacing w:line="312" w:lineRule="auto"/>
        <w:jc w:val="both"/>
        <w:rPr>
          <w:i/>
          <w:iCs/>
          <w:sz w:val="24"/>
          <w:szCs w:val="24"/>
        </w:rPr>
      </w:pPr>
    </w:p>
    <w:p>
      <w:pPr>
        <w:spacing w:line="312" w:lineRule="auto"/>
        <w:jc w:val="both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2. Характеристика профессиональной деятельности выпускника ОПОП ВО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2.1. Область профессиональной деятельности выпускников, освоивших программу бакалавриата, включает: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разработку и реализацию правовых норм;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обеспечение законности, правопорядка.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2.2. Объектами профессиональной деятельности выпускников, освоивших программу бакалавриата,  являются: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общественные отношения в сфере реализации правовых норм, обеспечение законности и правопорядка.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2.3. Виды профессиональной деятельности, к которым готовятся выпускники, освоившие программу бакалавриата: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нормотворческая;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правоприменительная: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правоохранительная;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экспертно-консультационная.</w:t>
      </w:r>
    </w:p>
    <w:p>
      <w:pPr>
        <w:shd w:val="clear" w:color="auto" w:fill="FFFFFF"/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2.4. Задачи профессиональной деятельности выпускника ОПОПВО: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нормотворческая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разработка нормативных правовых актов и их подготовка к реализации;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правоприменительная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составление юридических документов.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правоохранительная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обеспечение законности, правопорядка, безопасности личности, общества и государства;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охрана общественного порядка;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предупреждение, пресечение, выявление, раскрытие и расследование правонарушений;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защита частной, государственной, муниципальной и иных форм собственности.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экспертно-консультационная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консультирование по вопросам права;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 xml:space="preserve">осуществление правовой экспертизы документов. 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2.5. Перечень профессиональных стандартов, соотнесенных с ОПОП ВО по направлению подготовки 40.03.01 Юриспруденция «Гражданско-правовой профиль» приведен в Приложении № 1 Таблица 1. Перечень обобщенных трудовых функций, имеющих отношение к профессиональной деятельности выпускника МГУ имени М.В. Ломоносова по направлению подготовки 40.03.01 Юриспруденция «Гражданско-правовой профиль»  приведен в Приложении № 2 Таблица 2.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3. Структура ОПОП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3.1.  Структура программы бакалавриата включает: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дисциплины (модули) (базовая часть);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дисциплины (модули) (вариативная часть);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практику, в том числе научно-исследовательскую работу;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государственную итоговую аттестацию.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Дисциплины (модули) (базовая часть) являются обязательными для освоения обучающимся вне зависимости от направленности (профиля) программы бакалавриата.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Дисциплины (модули) (вариативная часть) устанавливаются структурным подразделением МГУ самостоятельно, исходя из направленности (профиля) ОПОП ВО. 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В Государственную итоговую аттестацию по результатам освоения ОПОП ВОвходят: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государственный экзамен (включая подготовку к сдаче и сдачу государственного экзамена);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</w:rPr>
        <w:t>защита выпускной квалификационной работы (включая подготовку к процедуре защиты и процедуру защиты).</w:t>
      </w:r>
    </w:p>
    <w:p>
      <w:pPr>
        <w:spacing w:line="312" w:lineRule="auto"/>
        <w:ind w:firstLine="709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Таблица3.1.</w:t>
      </w:r>
    </w:p>
    <w:tbl>
      <w:tblPr>
        <w:tblStyle w:val="12"/>
        <w:tblW w:w="98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6"/>
        <w:gridCol w:w="1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Элементы ОПОП 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Объем элементов ОПОП ВО</w:t>
            </w:r>
          </w:p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в зачетных единицах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Философия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 отечественного государства и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 государства и права зарубежных стран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Иностранный язык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Иностранный язык в сфере юриспруденции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Общее конституционное (государственное)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Конституционное (государственное) право России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Административное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Гражданское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Гражданский процесс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Арбитражный процесс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Трудовое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Уголовное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Уголовный процесс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Экологическое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Финансовое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Налоговое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Международное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Международное частное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Криминалистика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Экономика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Профессиональная этика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Семейное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Римское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Муниципальное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Коммерческое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Криминология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Профессиональный цикл</w:t>
            </w:r>
            <w:r>
              <w:rPr>
                <w:rStyle w:val="8"/>
                <w:rFonts w:ascii="Cambria" w:hAnsi="Cambria"/>
                <w:b/>
                <w:sz w:val="24"/>
                <w:szCs w:val="24"/>
              </w:rPr>
              <w:footnoteReference w:id="0"/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Гражданское и торговое право зарубежных стран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Правовая работа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Техника договорной работы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Наследственное право и нотариальная практика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Дисциплины по выбору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Спецсеминар по профилю подготовки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гражданско-правовой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Страховое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Наследственное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Юридические лица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Деликтное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Правовое регулирование рынка недвижимости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гражданско-процессуальной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Процессуальные документы в гражданском судопроизводстве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Особенности рассмотрения дел, вытекающих из публичных правоотношений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Адвокат в гражданском и арбитражном процессе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Исковая форма защиты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Особенности рассмотрения гражданских дел, возникающих из публичных правоотношений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Особенности рассмотрения некоторых категорий гражданских дел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предпринимательско-правовой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Конкурентное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Правовое регулирование рекламной 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Средства индивидуализации в предпринимательской 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Средства индивидуализации субъектов предпринимательской деятельности, их товаров и услуг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комерческо-правовой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Актуальные проблемы коммерческого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Организаторы торгового оборота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Основы правового регулирования маркетинга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Правовое регулирование качества товаров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Договорная работа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Инструментальный подход в частном праве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Информационное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Потребительское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Правовое регулирование конкуренции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эколого- и земельно-правовой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Защита прав предпринимателей при проведении государственного экологического надзора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 как объект земельных правоотношений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Особенности оформления прав на землю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Права граждан и их объединений в области охраны окружающей среды и использования природных ресурсов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Экологическое законодательство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трудоправовой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Локальные источники трудового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Правовое регулирование обязательного социального страхования в России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Правовое регулирование охраны труда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Правовое регулирование социально-трудовых прав лиц с семейными обязанностями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Сочетание государственного и договорного регулирования трудовых и социально-трудовых отношений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Международное трудовое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Мотивация труда (право-социология-психология)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Организация и оплата труда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Ответственность работодателя за вред, причиненный жизни и здоровью работника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Проблемы рассмотрения и разрешения индивидуальных трудовых споров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keepNext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1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учебная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1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преддипломная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pacing w:val="-2"/>
                <w:sz w:val="24"/>
                <w:szCs w:val="24"/>
              </w:rPr>
              <w:t>Выпускные работы и проекты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защита выпускной квалификационной работы (дипломной работы)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pacing w:val="-2"/>
                <w:sz w:val="24"/>
                <w:szCs w:val="24"/>
              </w:rPr>
              <w:t>Государственные экзамены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spacing w:val="-2"/>
                <w:sz w:val="24"/>
                <w:szCs w:val="24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CCCCCC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Объем программы бакалавриата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CCCCCC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240</w:t>
            </w: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  <w:lang w:val="en-US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4. Планируемые результаты освоения образовательной программы – компетенции выпускника и обеспечивающие их достижение результаты обучения ОПОП</w:t>
      </w:r>
      <w:r>
        <w:rPr>
          <w:rFonts w:ascii="Cambria" w:hAnsi="Cambria" w:cs="Cambria"/>
          <w:b/>
          <w:bCs/>
          <w:lang w:val="ru-RU"/>
        </w:rPr>
        <w:t xml:space="preserve"> </w:t>
      </w:r>
      <w:r>
        <w:rPr>
          <w:rFonts w:ascii="Cambria" w:hAnsi="Cambria" w:cs="Cambria"/>
          <w:b/>
          <w:bCs/>
        </w:rPr>
        <w:t>ВО</w:t>
      </w:r>
      <w:bookmarkStart w:id="0" w:name="_Hlk28115490"/>
      <w:r>
        <w:rPr>
          <w:rFonts w:ascii="Cambria" w:hAnsi="Cambria" w:cs="Cambria"/>
          <w:bCs/>
          <w:color w:val="auto"/>
        </w:rPr>
        <w:t>(см. Приложение № 3 Таблица 3)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 Этапы формирования компетенций при освоении образовательной программы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5.1. Этапы формирования универсальных компетенций (ОК) и элементы ОПОП ВО</w:t>
      </w:r>
    </w:p>
    <w:tbl>
      <w:tblPr>
        <w:tblStyle w:val="12"/>
        <w:tblW w:w="10768" w:type="dxa"/>
        <w:jc w:val="center"/>
        <w:tblInd w:w="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Периоды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6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7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8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9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10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ОК-9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ОК-8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ОК-2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и торговое право зарубежных стран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работа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Техника договорной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 и нотариальная практика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Страховое право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Юридические лица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Деликтное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рынка недвижимости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гражданско-процессуальной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Процессуальные документы в гражданском судопроизводстве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дел, вытекающих из публичных правоотношений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Адвокат в гражданском и арбитражном процессе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Исковая форма защиты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гражданских дел, возникающих из публичных правоотношений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некоторых категорий гражданских дел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предпринимательско-правовой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Конкурентное право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рекламной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в предпринимательской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субъектов предпринимательской деятельности, их товаров и услуг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комерческо-правовой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коммерческого права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Организаторы торгового оборота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правового регулирования маркетинга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качества товаров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Договорная работа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Инструментальный подход в частном праве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Потребительское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конкуренции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эколого- и земельно-правовой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предпринимателей при проведении государственного экологического надзора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Земельный участок как объект земельных правоотношений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оформления прав на землю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граждан и их объединений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Экологическое законодательство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трудоправовой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Локальные источники трудового права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Надзор и контроль за соблюдением трудового законодательства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обязательного социального страхования в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охраны труда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социально-трудовых прав лиц с семейными обязанностями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Сочетание государственного и договорного регулирования трудовых и социально-трудовых 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Мотивация труда (право-социология-психология)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Организация и оплата труда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работодателя за вред, причиненный жизни и здоровью работника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Проблемы рассмотрения и разрешения индивидуальных трудовых споров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</w:tr>
    </w:tbl>
    <w:p>
      <w:pPr>
        <w:pStyle w:val="16"/>
        <w:spacing w:line="312" w:lineRule="auto"/>
        <w:jc w:val="both"/>
        <w:rPr>
          <w:rFonts w:ascii="Cambria" w:hAnsi="Cambria" w:cs="Cambria"/>
          <w:b/>
          <w:bCs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5.2. Этапы формирования общепрофессиональных компетенций (ОПК) выпускников и элементы ОПОП ВО</w:t>
      </w:r>
    </w:p>
    <w:tbl>
      <w:tblPr>
        <w:tblStyle w:val="12"/>
        <w:tblW w:w="10768" w:type="dxa"/>
        <w:jc w:val="center"/>
        <w:tblInd w:w="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Периоды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6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7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8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9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10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ОПК-7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ОПК-2,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ОПК-3,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и торговое право зарубежных стран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работа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Техника договорной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 и нотариальная практика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Страховое право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Юридические лица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Деликтное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рынка недвижимости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гражданско-процессуальной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Процессуальные документы в гражданском судопроизводстве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дел, вытекающих из публичных правоотношений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Адвокат в гражданском и арбитражном процессе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Исковая форма защиты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гражданских дел, возникающих из публичных правоотношений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некоторых категорий гражданских дел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предпринимательско-правовой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Конкурентное право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рекламной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в предпринимательской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субъектов предпринимательской деятельности, их товаров и услуг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комерческо-правовой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коммерческого права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Организаторы торгового оборота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правового регулирования маркетинга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качества товаров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Договорная работа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Инструментальный подход в частном праве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Потребительское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конкуренции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эколого- и земельно-правовой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предпринимателей при проведении государственного экологического надзора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Земельный участок как объект земельных правоотношений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оформления прав на землю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граждан и их объединений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Экологическое законодательство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трудоправовой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Локальные источники трудового права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Надзор и контроль за соблюдением трудового законодательства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обязательного социального страхования в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охраны труда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социально-трудовых прав лиц с семейными обязанностями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Сочетание государственного и договорного регулирования трудовых и социально-трудовых 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Мотивация труда (право-социология-психология)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Организация и оплата труда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работодателя за вред, причиненный жизни и здоровью работника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Проблемы рассмотрения и разрешения индивидуальных трудовых споров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</w:tbl>
    <w:p>
      <w:pPr>
        <w:pStyle w:val="16"/>
        <w:spacing w:line="312" w:lineRule="auto"/>
        <w:jc w:val="both"/>
        <w:rPr>
          <w:rFonts w:ascii="Cambria" w:hAnsi="Cambria" w:cs="Cambria"/>
          <w:b/>
          <w:bCs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5.3.</w:t>
      </w:r>
      <w:r>
        <w:rPr>
          <w:rFonts w:ascii="Cambria" w:hAnsi="Cambria" w:cs="Cambria"/>
          <w:b/>
          <w:bCs/>
          <w:lang w:val="ru-RU"/>
        </w:rPr>
        <w:t xml:space="preserve"> </w:t>
      </w:r>
      <w:r>
        <w:rPr>
          <w:rFonts w:ascii="Cambria" w:hAnsi="Cambria" w:cs="Cambria"/>
          <w:b/>
          <w:bCs/>
        </w:rPr>
        <w:t>Этапы формирования профессиональных компетенций (ПК) выпускников и элементы ОПОП ВО</w:t>
      </w:r>
    </w:p>
    <w:tbl>
      <w:tblPr>
        <w:tblStyle w:val="12"/>
        <w:tblW w:w="10768" w:type="dxa"/>
        <w:jc w:val="center"/>
        <w:tblInd w:w="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Периоды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6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7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8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9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10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 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 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 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и торговое право зарубежных стран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работа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Техника договорной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 и нотариальная практика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Страховое право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 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 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Юридические лица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Деликтное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рынка недвижимости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гражданско-процессуальной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Процессуальные документы в гражданском судопроизводстве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дел, вытекающих из публичных правоотношений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Адвокат в гражданском и арбитражном процессе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Исковая форма защиты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гражданских дел, возникающих из публичных правоотношений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 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некоторых категорий гражданских дел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предпринимательско-правовой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Конкурентное право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рекламной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в предпринимательской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субъектов предпринимательской деятельности, их товаров и услуг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комерческо-правовой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коммерческого права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Организаторы торгового оборота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правового регулирования маркетинга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качества товаров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Договорная работа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Инструментальный подход в частном праве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Потребительское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конкуренции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эколого- и земельно-правовой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предпринимателей при проведении государственного экологического надзора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Земельный участок как объект земельных правоотношений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оформления прав на землю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граждан и их объединений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Экологическое законодательство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трудоправовой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Локальные источники трудового права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Надзор и контроль за соблюдением трудового законодательства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обязательного социального страхования в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охраны труда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социально-трудовых прав лиц с семейными обязанностями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Сочетание государственного и договорного регулирования трудовых и социально-трудовых отношений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Мотивация труда (право-социология-психология)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Организация и оплата труда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работодателя за вред, причиненный жизни и здоровью работника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Проблемы рассмотрения и разрешения индивидуальных трудовых споров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6. Матрицы соответствия компетенций выпускников и элементов образовательной программы, их формирующих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6.1. Матрица соответствия универсальных компетенций выпускника и элементов образовательной программы, их формирующих </w:t>
      </w:r>
      <w:r>
        <w:rPr>
          <w:rFonts w:ascii="Cambria" w:hAnsi="Cambria" w:cs="Cambria"/>
          <w:bCs/>
        </w:rPr>
        <w:t>(исключены дисциплины, не участвующие в формировании ОК)</w:t>
      </w:r>
    </w:p>
    <w:tbl>
      <w:tblPr>
        <w:tblStyle w:val="12"/>
        <w:tblW w:w="10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ОК-1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ОК-2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ОК-3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ОК-4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ОК-5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ОК-6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ОК-7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ОК-8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и торговое право зарубежных стран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работа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Техника договорной работы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 и нотариальная практика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Страховое право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Юридические лица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Деликтное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рынка недвижимости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гражданско-процессуальной тематики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Процессуальные документы в гражданском судопроизводстве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дел, вытекающих из публичных правоотношений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Адвокат в гражданском и арбитражном процессе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Исковая форма защиты права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гражданских дел, возникающих из публичных правоотношений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некоторых категорий гражданских дел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предпринимательско-правовой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Конкурентное право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рекламной деятельности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в предпринимательской деятельности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субъектов предпринимательской деятельности, их товаров и услуг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комерческо-правовой тематики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коммерческого права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Организаторы торгового оборота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правового регулирования маркетинга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качества товаров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Договорная работа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Инструментальный подход в частном праве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Потребительское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конкуренции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эколого- и земельно-правовой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предпринимателей при проведении государственного экологического надзора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Земельный участок как объект земельных правоотношений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оформления прав на землю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граждан и их объединений в области охраны окружающей среды и использования природных ресурсов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Экологическое законодательство 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трудоправовой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Локальные источники трудового права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Надзор и контроль за соблюдением трудового законодательства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обязательного социального страхования в России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охраны труда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социально-трудовых прав лиц с семейными обязанностями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Сочетание государственного и договорного регулирования трудовых и социально-трудовых отношений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трудовое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Мотивация труда (право-социология-психология)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Организация и оплата труда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работодателя за вред, причиненный жизни и здоровью работника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Проблемы рассмотрения и разрешения индивидуальных трудовых споров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  <w:color w:val="auto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6.2. Матрица соответствия общепрофессиональных компетенций выпускника и элементов образовательной программы, их формирующих </w:t>
      </w:r>
      <w:r>
        <w:rPr>
          <w:rFonts w:ascii="Cambria" w:hAnsi="Cambria" w:cs="Cambria"/>
          <w:bCs/>
        </w:rPr>
        <w:t>(исключены дисциплины, не участвующие в формировании ОПК)</w:t>
      </w:r>
    </w:p>
    <w:tbl>
      <w:tblPr>
        <w:tblStyle w:val="12"/>
        <w:tblW w:w="9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ОПК-1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ОПК-2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ОПК-3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ОПК-4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ОПК-5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ОПК-6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и торговое право зарубежных стран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работа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Техника договорной работы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 и нотариальная практика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Страховое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Юридические лица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Деликтное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рынка недвижимости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гражданско-процессуальной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Процессуальные документы в гражданском судопроизводстве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дел, вытекающих из публичных правоотношений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Адвокат в гражданском и арбитражном процессе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Исковая форма защиты права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гражданских дел, возникающих из публичных правоотношений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некоторых категорий гражданских дел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предпринимательско-правовой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Конкурентное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рекламной деятельности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в предпринимательской деятельности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субъектов предпринимательской деятельности, их товаров и услуг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комерческо-правовой тематики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коммерческого права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Организаторы торгового оборота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правового регулирования маркетинга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качества товаров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Договорная работа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Инструментальный подход в частном праве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Потребительское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конкуренции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эколого- и земельно-правовой тематики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предпринимателей при проведении государственного экологического надзора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Земельный участок как объект земельных правоотношений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оформления прав на землю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граждан и их объединений в области охраны окружающей среды и использования природных ресурсов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Экологическое законодательство 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трудоправовой тематики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Локальные источники трудового права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Надзор и контроль за соблюдением трудового законодательства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обязательного социального страхования в России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охраны труда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социально-трудовых прав лиц с семейными обязанностями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Сочетание государственного и договорного регулирования трудовых и социально-трудовых отношений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трудовое право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Мотивация труда (право-социология-психология)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Организация и оплата труда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работодателя за вред, причиненный жизни и здоровью работника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Проблемы рассмотрения и разрешения индивидуальных трудовых споров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  <w:color w:val="auto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6.3. Матрица соответствия профессиональных компетенций выпускника и элементов образовательной программы, их формирующих </w:t>
      </w:r>
      <w:r>
        <w:rPr>
          <w:rFonts w:ascii="Cambria" w:hAnsi="Cambria" w:cs="Cambria"/>
          <w:bCs/>
        </w:rPr>
        <w:t>(исключены дисциплины, не участвующие в формировании ПК)</w:t>
      </w:r>
    </w:p>
    <w:tbl>
      <w:tblPr>
        <w:tblStyle w:val="12"/>
        <w:tblW w:w="10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369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70"/>
        <w:gridCol w:w="410"/>
        <w:gridCol w:w="430"/>
        <w:gridCol w:w="40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</w:tc>
        <w:tc>
          <w:tcPr>
            <w:tcW w:w="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ПК-2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ПК-3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ПК-4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ПК-5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ПК-6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ПК-7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ПК-8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ПК-9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ПК-10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ПК-11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ПК-12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ПК-13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ПК-14</w:t>
            </w:r>
          </w:p>
        </w:tc>
        <w:tc>
          <w:tcPr>
            <w:tcW w:w="470" w:type="dxa"/>
            <w:gridSpan w:val="2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ПК-15</w:t>
            </w:r>
          </w:p>
        </w:tc>
        <w:tc>
          <w:tcPr>
            <w:tcW w:w="45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и торговое право зарубежных стран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Правовая работа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Техника договорной работы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 и нотариальная практика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гражданско-правовой тематики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Страховое право</w:t>
            </w:r>
          </w:p>
        </w:tc>
        <w:tc>
          <w:tcPr>
            <w:tcW w:w="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Наследственное право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Юридические лица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Деликтное право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рынка недвижимости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гражданско-процессуальной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Процессуальные документы в гражданском судопроизводстве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дел, вытекающих из публичных правоотношений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Адвокат в гражданском и арбитражном процессе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Исковая форма защиты права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гражданских дел, возникающих из публичных правоотношений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рассмотрения некоторых категорий гражданских дел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предпринимательско-правовой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Конкурентное право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рекламной деятельности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в предпринимательской деятельности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Средства индивидуализации субъектов предпринимательской деятельности, их товаров и услуг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комерческо-правовой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коммерческого права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Организаторы торгового оборота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Основы правового регулирования маркетинга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качества товаров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Договорная работа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Инструментальный подход в частном праве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Информационное право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Потребительское право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конкуренции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эколого- и земельно-правовой тематики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предпринимателей при проведении государственного экологического надзора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Земельный участок как объект земельных правоотношений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Особенности оформления прав на землю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граждан и их объединений в области охраны окружающей среды и использования природных ресурсов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Экологическое законодательство 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трудоправовой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Локальные источники трудового права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Надзор и контроль за соблюдением трудового законодательства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обязательного социального страхования в России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охраны труда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социально-трудовых прав лиц с семейными обязанностями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Сочетание государственного и договорного регулирования трудовых и социально-трудовых отношений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трудовое право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Мотивация труда (право-социология-психология)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Организация и оплата труда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работодателя за вред, причиненный жизни и здоровью работника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Проблемы рассмотрения и разрешения индивидуальных трудовых споров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  <w:p>
            <w:pPr>
              <w:jc w:val="center"/>
              <w:rPr>
                <w:rFonts w:ascii="Cambria" w:hAnsi="Cambria" w:cs="Cambria"/>
              </w:rPr>
            </w:pPr>
          </w:p>
          <w:p>
            <w:pPr>
              <w:jc w:val="center"/>
              <w:rPr>
                <w:rFonts w:ascii="Cambria" w:hAnsi="Cambria" w:cs="Cambria"/>
              </w:rPr>
            </w:pPr>
          </w:p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</w:tbl>
    <w:p>
      <w:pPr>
        <w:spacing w:line="312" w:lineRule="auto"/>
        <w:jc w:val="both"/>
        <w:rPr>
          <w:rFonts w:ascii="Cambria" w:hAnsi="Cambria"/>
          <w:b/>
          <w:sz w:val="24"/>
          <w:szCs w:val="24"/>
        </w:rPr>
      </w:pPr>
    </w:p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7. Документы, регламентирующие содержание и организацию образовательного процесса при реализации ОПОП ВО</w:t>
      </w:r>
    </w:p>
    <w:bookmarkEnd w:id="0"/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Содержание и организация образовательного процесса при реализации ОПОП ВО регламентируется календарным учебным графиком, учебным планом (квалификация «бакалавр»), рабочими программами учебных дисциплин, материалами, обеспечивающими качество подготовки обучающегося,  рабочих программ практик, а также методическими материалами, обеспечивающими реализацию соответствующих образовательных технологий. </w:t>
      </w:r>
    </w:p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Календарный учебный график и учебный план </w:t>
      </w:r>
    </w:p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календарном учебном графике указана последовательность реализации образовательной программы по годам, включая теоретическое обучение, практики, промежуточную и итоговую аттестацию.</w:t>
      </w:r>
    </w:p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учебном плане указывается перечень дисциплин,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</w:t>
      </w:r>
    </w:p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учебном плане выделяется объем контактной работы обучающегося с преподавателем (по видам аудиторных занятий) и самостоятельная работа обучающегося в академических часах, отражена логическая последовательность освоения учебных дисциплин (модулей) и разделов ОПОП ВО, обеспечивающих формирование необходимых компетенций.</w:t>
      </w:r>
    </w:p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Рабочие программы учебных дисциплин</w:t>
      </w:r>
    </w:p>
    <w:p>
      <w:pPr>
        <w:spacing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 учебным дисциплинам, включенным в учебный план, разработаны и утверждены рабочие программы. 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Программы учебной и преддипломной практик 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Практика является обязательным разделом ОПОП ВО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Организация практики на всех этапах направлена на обеспечение непрерывности и последовательности овладения обучающимися навыками и умениями профессиональной деятельности в соответствии с требованиями к уровню подготовки выпускника.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Блок «Практика» входят учебная, преддипломная практики.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Учебная практика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Целью учебной практики является закрепление и систематизация полученных знаний путем изучения работы правоохранительных органов, судов, юридических служб организаций и учреждений, в том числе оказывающих гражданам юридическую помощь. 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Задачами учебной практики в соответствии с видами профессиональной деятельности являются: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нормотворческая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участие в разработке нормативных правовых актов;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правоприменительная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составление юридических документов;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правоохранительная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защита частной, государственной, муниципальной и иных форм собственности;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экспертно-консультационная деятельность;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осуществление правовой экспертизы документов;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консультирование по вопросам права.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Учебная практика проводится после второго курса бакалавриата. Продолжительность практики – 4 недели.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Учебная практика является основой для изучения учебных дисциплин профессионального цикла и прохождения преддипломной практики.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Структура, содержание, этапы и результаты прохождения учебной практики, а также учебно-методическое обеспечение самостоятельной работы студентов, форма текущего контроля и промежуточной аттестации (по итогам практики) представлены в рабочей программе учебной практики.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Производственная (преддипломная) практика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Целью преддипломной практики является систематизация теоретических знаний и расширение круга практических умений и навыков по профилю подготовки путем сбора и анализа фактического материала для выпускной квалификационной работы, проверки на практике её основных положений и рекомендаций.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Задачами преддипломной практики в соответствии с видами профессиональной деятельности являются: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нормотворческая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участие в подготовке нормативных правовых актов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правоприменительная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обоснование и принятие решений, а также совершение действий, связанных с реализацией правовых норм;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составление юридических документов;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правоохранительная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обеспечение законности, правопорядка, безопасности личности, общества и государства;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защита частной, государственной, муниципальной и иных форм собственности;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экспертно-консультационная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консультирование по вопросам права;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осуществление правовой экспертизы документов.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Прохождение преддипломной практики базируется на знаниях, умениях и навыках, полученных при изучении дисциплин на 1-4 курсах, и позволяет студенту сформировать эмпирическую базу выпускной квалификационной работы, а также проверить практическую состоятельность её выводов и рекомендаций.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Преддипломная практика проводится после четвертого курса бакалавриата. Продолжительность практики – 4 недели.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Структура, содержание, этапы и результаты прохождения преддипломной практики, а также учебно-методическое обеспечение самостоятельной работы студентов, форма текущего контроля и промежуточной аттестации представлены в рабочей программе преддипломной практики.</w:t>
      </w:r>
    </w:p>
    <w:p>
      <w:pPr>
        <w:pStyle w:val="3"/>
        <w:spacing w:line="360" w:lineRule="auto"/>
        <w:ind w:firstLine="7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8. Фактическое ресурсное обеспечение ОПОП ВО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Ресурсное обеспечение ОПОП ВО  формируется на основе требований к условиям реализации основных профессиональных образовательных программ, определяемых ФГОС ВО по направлению подготовки 40.03.01 Юриспруденция (уровень бакалавриата) и включает в себя кадровое, материально-техническое, финансовое, учебно-методическое и информационное обеспечение.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Кадровое обеспечение 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Реализация ОПОП ВО обеспечивается руководящими и научно-педагогическими работниками организации, а также лицами, привлекаемыми к реализации данной образовательной программы на условиях гражданско-правового договора. 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данную образовательную программу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бакалавриата, составляет не менее 90 процентов. 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данную образовательную программу составляет не менее 60 процентов.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>и имеющих стаж работы в данной профессиональной области не менее 5 лет в общем числе работников реализующих программу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>бакалавриата, составляет не менее 5 процентов.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Материально-техническое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Юридический факультет МГУ имени М.В. Ломоносова располагает новой, современной материально-технической базой, которая обеспечивает проведение всех видов дисциплинарной и междисциплинарной  подготовки, лабораторной, практической и научно-исследовательской работы обучающихся, предусмотренных учебным планом факультета. Материально-техническая база факультета соответствует действующим санитарным нормам, а также правилам противопожарной безопасности, предъявляемым к учебным заведениям.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Материально-техническая база включает специальные помещения, которые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аудитории для самостоятельной работы, а также помещения для хранения и профилактического обслуживания учебного оборудования.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Специальные помещения полностью укомплектованы специализированной мебелью и техническими средствами, служащими для предоставления учебной информации большой аудитории.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Учебные помещения для занятий лекционного типа (лекционные аудитории) </w:t>
      </w:r>
      <w:r>
        <w:rPr>
          <w:rFonts w:ascii="Cambria" w:hAnsi="Cambria"/>
          <w:sz w:val="24"/>
          <w:szCs w:val="24"/>
        </w:rPr>
        <w:t xml:space="preserve">оборудованы современным демонстративным и компьютерным оборудованием. Демонстративное оборудование представлено в виде специализированного программного обеспечения, которое включает в себя систему визуализации с экраном, звуковую систему и систему управления программным комплексом. Лекционные аудитории оборудованы также мультимедийными средствами.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Учебные помещения для занятий семинарского типа </w:t>
      </w:r>
      <w:r>
        <w:rPr>
          <w:rFonts w:ascii="Cambria" w:hAnsi="Cambria"/>
          <w:sz w:val="24"/>
          <w:szCs w:val="24"/>
        </w:rPr>
        <w:t xml:space="preserve">укомплектованы специализированной мебелью, демонстративным оборудованием, а также компьютером с выходом информационную среду.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Учебные помещения для самостоятельной работы студентов </w:t>
      </w:r>
      <w:r>
        <w:rPr>
          <w:rFonts w:ascii="Cambria" w:hAnsi="Cambria"/>
          <w:sz w:val="24"/>
          <w:szCs w:val="24"/>
        </w:rPr>
        <w:t>укомплектованы специализированной мебелью и компьютерами с выходом в Интернет и обеспечение доступа в электронную информационно-образовательную среду.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Общий аудиторный фонд юридического факультета МГУ имени М.В. Ломоносова включает в себя: </w:t>
      </w:r>
      <w:r>
        <w:rPr>
          <w:rFonts w:ascii="Cambria" w:hAnsi="Cambria"/>
          <w:b/>
          <w:sz w:val="24"/>
          <w:szCs w:val="24"/>
        </w:rPr>
        <w:t xml:space="preserve">8 </w:t>
      </w:r>
      <w:r>
        <w:rPr>
          <w:rFonts w:ascii="Cambria" w:hAnsi="Cambria"/>
          <w:sz w:val="24"/>
          <w:szCs w:val="24"/>
        </w:rPr>
        <w:t xml:space="preserve">лекционных аудиторий (на </w:t>
      </w:r>
      <w:r>
        <w:rPr>
          <w:rFonts w:ascii="Cambria" w:hAnsi="Cambria"/>
          <w:b/>
          <w:sz w:val="24"/>
          <w:szCs w:val="24"/>
        </w:rPr>
        <w:t xml:space="preserve">4 </w:t>
      </w:r>
      <w:r>
        <w:rPr>
          <w:rFonts w:ascii="Cambria" w:hAnsi="Cambria"/>
          <w:sz w:val="24"/>
          <w:szCs w:val="24"/>
        </w:rPr>
        <w:t xml:space="preserve">по </w:t>
      </w:r>
      <w:r>
        <w:rPr>
          <w:rFonts w:ascii="Cambria" w:hAnsi="Cambria"/>
          <w:b/>
          <w:sz w:val="24"/>
          <w:szCs w:val="24"/>
        </w:rPr>
        <w:t xml:space="preserve">225 </w:t>
      </w:r>
      <w:r>
        <w:rPr>
          <w:rFonts w:ascii="Cambria" w:hAnsi="Cambria"/>
          <w:sz w:val="24"/>
          <w:szCs w:val="24"/>
        </w:rPr>
        <w:t>и</w:t>
      </w:r>
      <w:r>
        <w:rPr>
          <w:rFonts w:ascii="Cambria" w:hAnsi="Cambria"/>
          <w:b/>
          <w:sz w:val="24"/>
          <w:szCs w:val="24"/>
        </w:rPr>
        <w:t xml:space="preserve"> 4 </w:t>
      </w:r>
      <w:r>
        <w:rPr>
          <w:rFonts w:ascii="Cambria" w:hAnsi="Cambria"/>
          <w:sz w:val="24"/>
          <w:szCs w:val="24"/>
        </w:rPr>
        <w:t>по</w:t>
      </w:r>
      <w:r>
        <w:rPr>
          <w:rFonts w:ascii="Cambria" w:hAnsi="Cambria"/>
          <w:b/>
          <w:sz w:val="24"/>
          <w:szCs w:val="24"/>
        </w:rPr>
        <w:t xml:space="preserve"> 100</w:t>
      </w:r>
      <w:r>
        <w:rPr>
          <w:rFonts w:ascii="Cambria" w:hAnsi="Cambria"/>
          <w:sz w:val="24"/>
          <w:szCs w:val="24"/>
        </w:rPr>
        <w:t xml:space="preserve"> посадочных мест), </w:t>
      </w:r>
      <w:r>
        <w:rPr>
          <w:rFonts w:ascii="Cambria" w:hAnsi="Cambria"/>
          <w:b/>
          <w:sz w:val="24"/>
          <w:szCs w:val="24"/>
        </w:rPr>
        <w:t xml:space="preserve">3 </w:t>
      </w:r>
      <w:r>
        <w:rPr>
          <w:rFonts w:ascii="Cambria" w:hAnsi="Cambria"/>
          <w:sz w:val="24"/>
          <w:szCs w:val="24"/>
        </w:rPr>
        <w:t>полупоточных аудиторий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 xml:space="preserve">(на </w:t>
      </w:r>
      <w:r>
        <w:rPr>
          <w:rFonts w:ascii="Cambria" w:hAnsi="Cambria"/>
          <w:b/>
          <w:sz w:val="24"/>
          <w:szCs w:val="24"/>
        </w:rPr>
        <w:t>50</w:t>
      </w:r>
      <w:r>
        <w:rPr>
          <w:rFonts w:ascii="Cambria" w:hAnsi="Cambria"/>
          <w:sz w:val="24"/>
          <w:szCs w:val="24"/>
        </w:rPr>
        <w:t xml:space="preserve"> посадочных мест), </w:t>
      </w:r>
      <w:r>
        <w:rPr>
          <w:rFonts w:ascii="Cambria" w:hAnsi="Cambria"/>
          <w:b/>
          <w:sz w:val="24"/>
          <w:szCs w:val="24"/>
        </w:rPr>
        <w:t xml:space="preserve">56 </w:t>
      </w:r>
      <w:r>
        <w:rPr>
          <w:rFonts w:ascii="Cambria" w:hAnsi="Cambria"/>
          <w:sz w:val="24"/>
          <w:szCs w:val="24"/>
        </w:rPr>
        <w:t xml:space="preserve">учебную аудиторию для проведения семинарских и практических занятий, </w:t>
      </w:r>
      <w:r>
        <w:rPr>
          <w:rFonts w:ascii="Cambria" w:hAnsi="Cambria"/>
          <w:b/>
          <w:sz w:val="24"/>
          <w:szCs w:val="24"/>
        </w:rPr>
        <w:t xml:space="preserve">4 </w:t>
      </w:r>
      <w:r>
        <w:rPr>
          <w:rFonts w:ascii="Cambria" w:hAnsi="Cambria"/>
          <w:sz w:val="24"/>
          <w:szCs w:val="24"/>
        </w:rPr>
        <w:t xml:space="preserve">учебных компьютерных классов (на </w:t>
      </w:r>
      <w:r>
        <w:rPr>
          <w:rFonts w:ascii="Cambria" w:hAnsi="Cambria"/>
          <w:b/>
          <w:sz w:val="24"/>
          <w:szCs w:val="24"/>
        </w:rPr>
        <w:t xml:space="preserve">24 </w:t>
      </w:r>
      <w:r>
        <w:rPr>
          <w:rFonts w:ascii="Cambria" w:hAnsi="Cambria"/>
          <w:sz w:val="24"/>
          <w:szCs w:val="24"/>
        </w:rPr>
        <w:t xml:space="preserve">и </w:t>
      </w:r>
      <w:r>
        <w:rPr>
          <w:rFonts w:ascii="Cambria" w:hAnsi="Cambria"/>
          <w:b/>
          <w:sz w:val="24"/>
          <w:szCs w:val="24"/>
        </w:rPr>
        <w:t xml:space="preserve">26 </w:t>
      </w:r>
      <w:r>
        <w:rPr>
          <w:rFonts w:ascii="Cambria" w:hAnsi="Cambria"/>
          <w:sz w:val="24"/>
          <w:szCs w:val="24"/>
        </w:rPr>
        <w:t xml:space="preserve">рабочих мест), </w:t>
      </w:r>
      <w:r>
        <w:rPr>
          <w:rFonts w:ascii="Cambria" w:hAnsi="Cambria"/>
          <w:b/>
          <w:sz w:val="24"/>
          <w:szCs w:val="24"/>
        </w:rPr>
        <w:t xml:space="preserve">2 </w:t>
      </w:r>
      <w:r>
        <w:rPr>
          <w:rFonts w:ascii="Cambria" w:hAnsi="Cambria"/>
          <w:sz w:val="24"/>
          <w:szCs w:val="24"/>
        </w:rPr>
        <w:t xml:space="preserve">компьютерных класса для самостоятельной работы (на </w:t>
      </w:r>
      <w:r>
        <w:rPr>
          <w:rFonts w:ascii="Cambria" w:hAnsi="Cambria"/>
          <w:b/>
          <w:sz w:val="24"/>
          <w:szCs w:val="24"/>
        </w:rPr>
        <w:t>16</w:t>
      </w:r>
      <w:r>
        <w:rPr>
          <w:rFonts w:ascii="Cambria" w:hAnsi="Cambria"/>
          <w:sz w:val="24"/>
          <w:szCs w:val="24"/>
        </w:rPr>
        <w:t xml:space="preserve"> рабочих мест каждый).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Конференц-зал для проведения учебных занятий, научных конференций </w:t>
      </w:r>
      <w:r>
        <w:rPr>
          <w:rFonts w:ascii="Cambria" w:hAnsi="Cambria"/>
          <w:sz w:val="24"/>
          <w:szCs w:val="24"/>
        </w:rPr>
        <w:t>(на 584 посадочных мест)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 xml:space="preserve">оборудован специализированной мебелью, сценическим комплексом, позволяющим проводить конференции с синхронным переводом.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Учебно-методическое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Учебно-методическое обеспечение на юридическом факультете МГУ имени М.В. Ломоносова включает в себя учебную и учебно-методическую документацию по всем учебным курсам, предметам, дисциплинам (модулям).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Учебно-методическое обеспечение основных профессиональных образовательных программ, реализуемых на Юридическом факультете МГУ имени М.В. Ломоносова, осуществляется в рамках работы Центра правосудия, Криминалистического центра, лабораторий, научно-образовательных центров, библиотечно-информационного центра и информационно-образовательного проекта «Ситуационный центр».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Центр правосудия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Для проведения практических занятий в условиях максимально приближенных к реальному судебному заседанию на юридическом факультете МГУ имени М.В. Ломоносова создан уникальный многофункциональный учебный «Центр правосудия», являющийся междисциплинарным учебно-образовательным комплексом.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Целями создания и функционирования Центра правосудия являются: повышение эффективности и качества образовательного процесса посредством формирования у студентов устойчивых профессиональных навыков и компетенций; поддержание учебного процесса; формирование профессиональной этики, воспитание студентов в духе уважительного отношения к юридической профессии.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Центр правосудия расположен в специализированном помещении, включающем зал судебных заседаний и так называемую совещательную комнату. Помещение Центра правосудия фактически является аналогом реального зала судебных заседаний, которыми оборудуются российские суды: оно имеет государственную символику; оборудовано мебелью с учетом возможности проведения открытого судебного процесса, участия в судебном заседании членов суда, представителей сторон, публики; оснащено современной компьютерной и мультимедийной техникой, позволяющей на практике применять и активно использовать внедряемые в судах информационные технологии.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Инфраструктура Центра правосудия может использоваться для: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проведения практических занятий со студентами;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обучения студентов навыкам проведения судебного заседания, участия в нем в качестве судей, адвокатов, прокуроров и других участников процесса; 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участия студентов в смоделированных судебных заседаниях;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организации взаимодействия с судами различных юрисдикций, в том числе посредством подключения к видеотрансляции судебных заседаний в режиме реального времени;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формирования и использования электронной информационной базы видеоматериалов судебных заседаний и других материалов судебной практики;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проведения встреч студентов с судьями, адвокатами, прокурорами и другими представителями юридической профессии.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Криминалистический центр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Для проведения практических занятий в условиях максимально приближенных к реальным следственным действиям на юридическом факультете МГУ имени М.В. Ломоносова создан учебный криминалистический центр, оборудованный современным криминалистическим оборудованием, мебелью, оргтехникой, расходными материалами и специализированной научно и учебной литературой.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структуру Криминалистического центра входят 4 лаборатории: экспертной деятельности, документоведения, тактики и методики, следоведения. Для каждой лаборатории выделены отдельные учебные аудитории, оснащенные всем необходимым криминалистическим оборудованием, в том числе криминалистическими чемоданами разных модификаций, а также соответствующими тематическими научными библиотеками.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Криминалистическом центре имеются: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-фильмотека и электронные базы учебных данных по криминалистике (комплект из 54 дисков в формате </w:t>
      </w:r>
      <w:r>
        <w:rPr>
          <w:rFonts w:ascii="Cambria" w:hAnsi="Cambria"/>
          <w:sz w:val="24"/>
          <w:szCs w:val="24"/>
          <w:lang w:val="en-US"/>
        </w:rPr>
        <w:t>DVD</w:t>
      </w:r>
      <w:r>
        <w:rPr>
          <w:rFonts w:ascii="Cambria" w:hAnsi="Cambria"/>
          <w:sz w:val="24"/>
          <w:szCs w:val="24"/>
        </w:rPr>
        <w:t xml:space="preserve"> и на электронных носителях информации ПК для преподавателей – более 170 учебных фильмов по криминалистике и других видеоматериалов),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-более 300 электронных копий учебных уголовных дел по криминалистике,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-электронные версии учебных и учебно-методических материалов по криминалистике из Следственного комитета России – по методике расследования преступлений – общим объемом более 100 Гб,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-учебные пособия по баллистике (образцы огнестрельного и холодного оружия, образцы гильз и пуль, а также стенды и презентации), по криминалистической фотографии, трасологии, дактилоскопии, габитоскопии (с презентациями описания внешности человека, демонстрационной программой для создания фотороботов </w:t>
      </w:r>
      <w:r>
        <w:rPr>
          <w:rFonts w:ascii="Cambria" w:hAnsi="Cambria"/>
          <w:sz w:val="24"/>
          <w:szCs w:val="24"/>
          <w:lang w:val="en-US"/>
        </w:rPr>
        <w:t>Faces</w:t>
      </w:r>
      <w:r>
        <w:rPr>
          <w:rFonts w:ascii="Cambria" w:hAnsi="Cambria"/>
          <w:sz w:val="24"/>
          <w:szCs w:val="24"/>
        </w:rPr>
        <w:t>), документоведению (с презентационными материалами) и т.п.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каждой лаборатории Криминалистического центра в процессе занятий по криминалистике имеются возможности демонстрации на экране учебных фильмов, презентаций и других видеоматериалов. Все лаборатории оснащены проекторами и экранами.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оборудование Криминалистического центра входят: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-унифицированный криминалистический чемодан для осмотра места происшествия «Криминалист», комплект средств для работы со следами биологического происхождения «Визит», унифицированный комплект эксперта-баллиста из 2-х чемоданов «Калибр», чемодан для осмотра места взрыва «Сапер», унифицированный криминалистический чемодан для изъятия объемных средств «Тракт», медико-криминалистический чемодан для осмотра трупов «Медик», унифицированный чемодан для осмотра места происшествия «Малахит»;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-набор блокираторов для снятия криминалистических образов </w:t>
      </w:r>
      <w:r>
        <w:rPr>
          <w:rFonts w:ascii="Cambria" w:hAnsi="Cambria"/>
          <w:sz w:val="24"/>
          <w:szCs w:val="24"/>
          <w:lang w:val="en-US"/>
        </w:rPr>
        <w:t>Tableau</w:t>
      </w:r>
      <w:r>
        <w:rPr>
          <w:rFonts w:ascii="Cambria" w:hAnsi="Cambria"/>
          <w:sz w:val="24"/>
          <w:szCs w:val="24"/>
        </w:rPr>
        <w:t>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-программно-аппаратные комплексы </w:t>
      </w:r>
      <w:r>
        <w:rPr>
          <w:rFonts w:ascii="Cambria" w:hAnsi="Cambria"/>
          <w:sz w:val="24"/>
          <w:szCs w:val="24"/>
          <w:lang w:val="en-US"/>
        </w:rPr>
        <w:t>PC</w:t>
      </w:r>
      <w:r>
        <w:rPr>
          <w:rFonts w:ascii="Cambria" w:hAnsi="Cambria"/>
          <w:sz w:val="24"/>
          <w:szCs w:val="24"/>
        </w:rPr>
        <w:t>-3000,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-программно-аппаратные комплексы для исследования мобильных устройств </w:t>
      </w:r>
      <w:r>
        <w:rPr>
          <w:rFonts w:ascii="Cambria" w:hAnsi="Cambria"/>
          <w:sz w:val="24"/>
          <w:szCs w:val="24"/>
          <w:lang w:val="en-US"/>
        </w:rPr>
        <w:t>UFED</w:t>
      </w:r>
      <w:r>
        <w:rPr>
          <w:rFonts w:ascii="Cambria" w:hAnsi="Cambria"/>
          <w:sz w:val="24"/>
          <w:szCs w:val="24"/>
        </w:rPr>
        <w:t>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-комплект для лабораторных исследований и осмотра места происшествия – из 8-ми криминалистических источников света </w:t>
      </w:r>
      <w:r>
        <w:rPr>
          <w:rFonts w:ascii="Cambria" w:hAnsi="Cambria"/>
          <w:sz w:val="24"/>
          <w:szCs w:val="24"/>
          <w:lang w:val="en-US"/>
        </w:rPr>
        <w:t>Crimelite</w:t>
      </w:r>
      <w:r>
        <w:rPr>
          <w:rFonts w:ascii="Cambria" w:hAnsi="Cambria"/>
          <w:sz w:val="24"/>
          <w:szCs w:val="24"/>
        </w:rPr>
        <w:t xml:space="preserve"> 8 для фиксации следов на месте происшествия (применяется в ходе занятий по тактике осмотра места происшествия и трасологии в рамках общего курса криминалистики для бакалавров, а также в ходе спецкурсов для студентов магистратуры),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-прибор для выявления вдавленных следов на бумаге </w:t>
      </w:r>
      <w:r>
        <w:rPr>
          <w:rFonts w:ascii="Cambria" w:hAnsi="Cambria"/>
          <w:sz w:val="24"/>
          <w:szCs w:val="24"/>
          <w:lang w:val="en-US"/>
        </w:rPr>
        <w:t>ESDA</w:t>
      </w:r>
      <w:r>
        <w:rPr>
          <w:rFonts w:ascii="Cambria" w:hAnsi="Cambria"/>
          <w:sz w:val="24"/>
          <w:szCs w:val="24"/>
        </w:rPr>
        <w:t>2,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-автоматизированный комплекс для теплового выявления и визуализации следов потожировых следов рук на бумаге </w:t>
      </w:r>
      <w:r>
        <w:rPr>
          <w:rFonts w:ascii="Cambria" w:hAnsi="Cambria"/>
          <w:sz w:val="24"/>
          <w:szCs w:val="24"/>
          <w:lang w:val="en-US"/>
        </w:rPr>
        <w:t>ThermalFingerprintDeveloper</w:t>
      </w:r>
      <w:r>
        <w:rPr>
          <w:rFonts w:ascii="Cambria" w:hAnsi="Cambria"/>
          <w:sz w:val="24"/>
          <w:szCs w:val="24"/>
        </w:rPr>
        <w:t xml:space="preserve"> 2 (</w:t>
      </w:r>
      <w:r>
        <w:rPr>
          <w:rFonts w:ascii="Cambria" w:hAnsi="Cambria"/>
          <w:sz w:val="24"/>
          <w:szCs w:val="24"/>
          <w:lang w:val="en-US"/>
        </w:rPr>
        <w:t>TFD</w:t>
      </w:r>
      <w:r>
        <w:rPr>
          <w:rFonts w:ascii="Cambria" w:hAnsi="Cambria"/>
          <w:sz w:val="24"/>
          <w:szCs w:val="24"/>
        </w:rPr>
        <w:t>- 2),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-программно-аппаратный комплекс для выявления и фиксации невидимых следов различной природы путем фотографирования с применением освещения электромагнитным излучением с разной длиной волны и специализированных светофильтров Стационарная установка </w:t>
      </w:r>
      <w:r>
        <w:rPr>
          <w:rFonts w:ascii="Cambria" w:hAnsi="Cambria"/>
          <w:sz w:val="24"/>
          <w:szCs w:val="24"/>
          <w:lang w:val="en-US"/>
        </w:rPr>
        <w:t>Crime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  <w:lang w:val="en-US"/>
        </w:rPr>
        <w:t>lite</w:t>
      </w:r>
      <w:r>
        <w:rPr>
          <w:rFonts w:ascii="Cambria" w:hAnsi="Cambria"/>
          <w:sz w:val="24"/>
          <w:szCs w:val="24"/>
        </w:rPr>
        <w:t>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-комплект технических средств для проведения поиска наркотических средств в срытых полостях и труднодоступных местах, а также осмотра и изъятия следов в автомобилях и закрытых помещениях «Полость».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Современное развитие Центра строится на основе сотрудничества со Следственным комитетом России, Следственным департаментом МВД России, Экспертно-криминалистическим центром МВД России по г. Москве, Российским федеральным центром судебной экспертизы при Министерстве юстиции России, Федеральной антимонопольной службой и пр.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Лаборатории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юридическом факультете МГУ имени М.В. Ломоносова действуют две лаборатории: лаборатория правовой информатики и кибернетики и лаборатория социально-правовых исследований и сравнительного правоведения.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Лаборатория правовой информатики и кибернетики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Целью</w:t>
      </w:r>
      <w:r>
        <w:rPr>
          <w:rFonts w:ascii="Cambria" w:hAnsi="Cambria"/>
          <w:sz w:val="24"/>
          <w:szCs w:val="24"/>
        </w:rPr>
        <w:t xml:space="preserve"> деятельности лаборатории является осуществление учебной, методологической, научно-исследовательской, организационной и воспитательной работы, повышение квалификации научно-педагогических кадров путем внедрения и применения современных информационных технологий.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Основными задачами лаборатории в части осуществления учебно-методического обеспечения образовательной программы</w:t>
      </w:r>
      <w:r>
        <w:rPr>
          <w:rFonts w:ascii="Cambria" w:hAnsi="Cambria"/>
          <w:sz w:val="24"/>
          <w:szCs w:val="24"/>
        </w:rPr>
        <w:t xml:space="preserve"> является: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-подготовка квалифицированных кадров высшего профессионального образования путем проведения по всем формам обучения лекций, семинарских, практических, лабораторных и других видов учебных занятий, предусмотренных учебным планом;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-подготовка классических и интерактивных учебников, учебных пособий, учебных программ и другой учебной и учебно-методической литературы;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эффективного использования современной компьютерной техники в научно-образовательном процессе;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-обучение студентов основам применения вычислительной техники в работе по специальности, разработка содержания и методики преподавания учебных дисциплин;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повышения квалификации профессорско-преподавательского состава по использованию информационных технологий и учебно-вспомогательного состава факультета в части применения компьютерной техники.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Лаборатория социально-правовых исследований и сравнительного правоведения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Целью</w:t>
      </w:r>
      <w:r>
        <w:rPr>
          <w:rFonts w:ascii="Cambria" w:hAnsi="Cambria"/>
          <w:sz w:val="24"/>
          <w:szCs w:val="24"/>
        </w:rPr>
        <w:t xml:space="preserve"> деятельности лаборатории является организация научно-исследовательской работы с использованием криминологических и социологических методик по криминологии, социологии права, социологии преступности и сравнительному правоведению, а также оказание содействия факультету в оптимизации, повышении качества и эффективности образовательного и воспитательного процессов, ориентированных на подготовку высококвалифицированных специалистов.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Основными задачами лаборатории в части осуществления учебно-методического обеспечения образовательной программы</w:t>
      </w:r>
      <w:r>
        <w:rPr>
          <w:rFonts w:ascii="Cambria" w:hAnsi="Cambria"/>
          <w:sz w:val="24"/>
          <w:szCs w:val="24"/>
        </w:rPr>
        <w:t xml:space="preserve"> является: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-проведение фундаментальных и прикладных исследований в области криминологии, правовой социологии, социолого-правовых проблем современности, социологии преступности, сравнительного правоведения;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-подготовка научных публикаций на основе теоретических разработок и результатов научных исследований, связанных с проблематикой лаборатории;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-оказание помощи кафедрам в разработке исследовательских программ с использованием криминологических и социологических методик, в том числе в рамках междисциплинарных исследований;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-проведение систематических репрезентативных опросов сотрудников факультета и студентов по проблемам качества и эффективности учебного процесса (методика чтения лекций и проведения семинарских занятий, внедрение современных методов обучения, совершенствование программ магистратуры и второго высшего образования, компетенции выпускников, посещаемость занятий студентами и др.).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-мониторинг уровня юридической подготовки, правосознания и иных профессиональных качеств абитуриентов и студентов, необходимых для получения ими высшего юридического образования и последующего трудоустройства в соответствии с полученной специальностью;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-привлечение студентов и аспирантов к участию в исследованиях по качеству образования (апробация методик исследований, визуализация данных, работа в программе SPSS и т.д.).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Лаборатории имеют самостоятельные специализированные помещения, оборудованные современным оборудованием и техническими средствами.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Научно-образовательные центры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Одним из приоритетных направлений развития образовательных технологий является работа на базе юридического факультета МГУ имени М.В. Ломоносова современных научно-образовательных центров мирового уровня по наиболее актуальным направлениям юриспруденции,  способных внести существенный теоретический и практический вклад в разработку механизмов перехода России на инновационный путь развития.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юридическом факультете МГУ имени М.В. Ломоносова действуют следующие научно-образовательные центры: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"http://law.msu.ru/structure/teach-science/labs/uch-nauch-centr" </w:instrText>
      </w:r>
      <w:r>
        <w:fldChar w:fldCharType="separate"/>
      </w:r>
      <w:r>
        <w:rPr>
          <w:rFonts w:ascii="Cambria" w:hAnsi="Cambria"/>
          <w:sz w:val="24"/>
          <w:szCs w:val="24"/>
        </w:rPr>
        <w:t>Учебно-научный центр конституционализма и местного самоуправления (на правах лаборатории)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экологического права;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«Развитие институтов гражданского процессуального права»;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"http://law.msu.ru/node/52400" </w:instrText>
      </w:r>
      <w:r>
        <w:fldChar w:fldCharType="separate"/>
      </w:r>
      <w:r>
        <w:rPr>
          <w:rFonts w:ascii="Cambria" w:hAnsi="Cambria"/>
          <w:sz w:val="24"/>
          <w:szCs w:val="24"/>
        </w:rPr>
        <w:t>Научно-образовательный центр международного и сравнительного уголовного права имени Н.Ф. Кузнецовой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"http://www.law.msu.ru/node/52399" </w:instrText>
      </w:r>
      <w:r>
        <w:fldChar w:fldCharType="separate"/>
      </w:r>
      <w:r>
        <w:rPr>
          <w:rFonts w:ascii="Cambria" w:hAnsi="Cambria"/>
          <w:sz w:val="24"/>
          <w:szCs w:val="24"/>
        </w:rPr>
        <w:t>Научно-образовательный центр «Правовое регулирование предпринимательской деятельности» (НОЦ «Право и бизнес МГУ»)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«Центр актуальных проблем международного права»;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частного права;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«Финансы и право»;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«Учебно-научный международный центр социально-правовой экспертизы»;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«Римское частное право»;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</w:t>
      </w:r>
      <w:r>
        <w:fldChar w:fldCharType="begin"/>
      </w:r>
      <w:r>
        <w:instrText xml:space="preserve"> HYPERLINK "http://law.msu.ru/node/49304" </w:instrText>
      </w:r>
      <w:r>
        <w:fldChar w:fldCharType="separate"/>
      </w:r>
      <w:r>
        <w:rPr>
          <w:rFonts w:ascii="Cambria" w:hAnsi="Cambria"/>
          <w:sz w:val="24"/>
          <w:szCs w:val="24"/>
        </w:rPr>
        <w:t>«Энергетика и право»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</w:t>
      </w:r>
      <w:r>
        <w:fldChar w:fldCharType="begin"/>
      </w:r>
      <w:r>
        <w:instrText xml:space="preserve"> HYPERLINK "http://www.law.msu.ru/node/52398" </w:instrText>
      </w:r>
      <w:r>
        <w:fldChar w:fldCharType="separate"/>
      </w:r>
      <w:r>
        <w:rPr>
          <w:rFonts w:ascii="Cambria" w:hAnsi="Cambria"/>
          <w:sz w:val="24"/>
          <w:szCs w:val="24"/>
        </w:rPr>
        <w:t>трудового права и права социального обеспечения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«Центр Азиатских правовых исследований МГУ»;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«Проблемы уголовно-исполнительного права»;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«Проблемы административного права и процесса»;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договорного права;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«Теория государства и права»;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«Международное право».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Целью</w:t>
      </w:r>
      <w:r>
        <w:rPr>
          <w:rFonts w:ascii="Cambria" w:hAnsi="Cambria"/>
          <w:sz w:val="24"/>
          <w:szCs w:val="24"/>
        </w:rPr>
        <w:t xml:space="preserve"> деятельности научно-образовательных центров является организация и осуществление образовательной, научно-исследовательской деятельности, направленной на решение актуальных и перспективных задач в области правового регулирования по профилю научно-образовательного центра.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Все действующие научно-образовательные центры имеют самостоятельные специализированные помещения, укомплектованы специализированной мебелью, современной техникой и необходимым оборудованием.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 базе научно-образовательных центров формируется библиотечный фонд по профилю центра.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Библиотечно-информационный центр юридического факультета МГУ имени М.В. Ломоносова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Библиотечно-информационный центр – это многофункциональный интеллектуальный, информационный, учебно-научный, культурно-досуговый и деловой центр, выполняющий функции библиотеки юридического факультета МГУ имени М.В. Ломоносова.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библиотечно-информационном центре работают два читальных зала на 21 и 41 рабочих мест, а также Ситуационный центр с функциями электронного читального зала на 38 рабочих мест.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библиотечно-информационном центре находится литература по юридическим наукам с 2006 года издания, абонемент научной юридической литературы до 2006 года издания находится в фонде библиотеки 2-го учебного корпуса МГУ имени М.В. Ломоносова.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2018 год в библиотечно-информационном центре находится 27,669 экз. книг и 41 название периодических изданий (3,288 экз. журналов). Новые поступления в фонд отдела в 2018 году составили 1745 экз. книг и 278 экз. журналов. В читальных залах в открытом доступе размещены: фонд учебной, справочной литературы и периодических изданий по юридическим наукам (1942 экз. книг и 1711 экз. журналов), а также фонд немецких изданий по праву (1140 экземпляров).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помещении библиотечно-информационного центра имеется доступ в Интернет через </w:t>
      </w:r>
      <w:r>
        <w:rPr>
          <w:rFonts w:ascii="Cambria" w:hAnsi="Cambria"/>
          <w:sz w:val="24"/>
          <w:szCs w:val="24"/>
          <w:lang w:val="en-US"/>
        </w:rPr>
        <w:t>Wi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  <w:lang w:val="en-US"/>
        </w:rPr>
        <w:t>Fi</w:t>
      </w:r>
      <w:r>
        <w:rPr>
          <w:rFonts w:ascii="Cambria" w:hAnsi="Cambria"/>
          <w:sz w:val="24"/>
          <w:szCs w:val="24"/>
        </w:rPr>
        <w:t xml:space="preserve">, принимаются заказы на ксерокопирование. Для читателей оборудованы 10 компьютерных рабочих мест с выходом в Интернет, подключенных к электронным базам и каталогам Научной библиотеки МГУ имени М.В. Ломоносова, системам «Консультант Плюс», «Гарант», Президентской библиотеке им. Б.Н. Ельцина. В центре работает система электронного заказа литературы через глобальную сеть Интернет.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библиотечно-информационном центре регулярно проводятся книжные тематические выставки и выставки новых поступлений.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 всех компьютеров МГУ имени М.В. Ломоносова организован доступ к полным текстам научных журналов и книг на русском и иностранном языках электронной библиотеки Научной библиотеки МГУ имени М.В. Ломоносова, в том числе доступ к ведущим мировым реферативным базам данных </w:t>
      </w:r>
      <w:r>
        <w:rPr>
          <w:rFonts w:ascii="Cambria" w:hAnsi="Cambria"/>
          <w:sz w:val="24"/>
          <w:szCs w:val="24"/>
          <w:lang w:val="en-US"/>
        </w:rPr>
        <w:t>ADS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  <w:lang w:val="en-US"/>
        </w:rPr>
        <w:t>NASA</w:t>
      </w:r>
      <w:r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  <w:lang w:val="en-US"/>
        </w:rPr>
        <w:t>INSPEC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MedLine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PubMed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SCOPUS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WebofScience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InCetes</w:t>
      </w:r>
      <w:r>
        <w:rPr>
          <w:rFonts w:ascii="Cambria" w:hAnsi="Cambria"/>
          <w:sz w:val="24"/>
          <w:szCs w:val="24"/>
        </w:rPr>
        <w:t xml:space="preserve">, а также к поисковым системам </w:t>
      </w:r>
      <w:r>
        <w:rPr>
          <w:rFonts w:ascii="Cambria" w:hAnsi="Cambria"/>
          <w:sz w:val="24"/>
          <w:szCs w:val="24"/>
          <w:lang w:val="en-US"/>
        </w:rPr>
        <w:t>CoogleSchlar</w:t>
      </w:r>
      <w:r>
        <w:rPr>
          <w:rFonts w:ascii="Cambria" w:hAnsi="Cambria"/>
          <w:sz w:val="24"/>
          <w:szCs w:val="24"/>
        </w:rPr>
        <w:t xml:space="preserve"> и Сингла.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Информационно-образовательный проект «Ситуационный центр»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Целями </w:t>
      </w:r>
      <w:r>
        <w:rPr>
          <w:rFonts w:ascii="Cambria" w:hAnsi="Cambria"/>
          <w:sz w:val="24"/>
          <w:szCs w:val="24"/>
        </w:rPr>
        <w:t>создания «Ситуационный центр» на юридическом факультете МГУ имени М.В. Ломоносова являются: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и проведение научно-образовательной, научно-исследовательской, инновационной и международной деятельности совместно с ведущими вузами мира и иными партнерами Московского университета;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-координация, обеспечение и проведение фундаментальных и прикладных исследований и работ, создание научной и образовательной базы для подготовки специалистов всех уровней в области юриспруденции;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-обучение студентов принятию правильных решений на примере реальных и смоделированных ситуаций.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Основными видами использования Ситуационного центра в части осуществления учебно-методического, научного и информационного обеспечения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bookmarkStart w:id="1" w:name="_GoBack"/>
      <w:bookmarkEnd w:id="1"/>
      <w:r>
        <w:rPr>
          <w:rFonts w:ascii="Cambria" w:hAnsi="Cambria"/>
          <w:sz w:val="24"/>
          <w:szCs w:val="24"/>
        </w:rPr>
        <w:t>являются: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-участие студентов в смоделированных и реальных событиях в стране и в мире, с целью выработки стратегически правильных и обоснованных управленческих решений и контроля их выполнения как в штатных и нештатных ситуациях;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-проведение на высокотехнологическом уровне научных и учебных мероприятий: видеоконференций, симпозиумов, лекций, семинаров и других обучающих и научных мероприятий;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-использования Ситуационного центра студентами факультета в качестве читального зала фонда ФГБУ «Президентская библиотека имени Б.Н. Ельцина»;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и участие в международных программах, проектах, телемостах.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Ситуационный центр расположен в специализированном помещении, оборудован современным компьютерным и мультимединым оборудованием, а также многофункциональной современной видео-конференц-системой.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Информационное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Юридический факультет МГУ имени М.В. Ломоносова полностью обеспечен необходимым комплектом лицензированного программного обеспечения, в том числе СПС Консультант Плюс, Гарант, ПО Антиплагиат, АВП Касперский, </w:t>
      </w:r>
      <w:r>
        <w:rPr>
          <w:rFonts w:ascii="Cambria" w:hAnsi="Cambria"/>
          <w:sz w:val="24"/>
          <w:szCs w:val="24"/>
          <w:lang w:val="en-US"/>
        </w:rPr>
        <w:t>MOODLE</w:t>
      </w:r>
      <w:r>
        <w:rPr>
          <w:rFonts w:ascii="Cambria" w:hAnsi="Cambria"/>
          <w:sz w:val="24"/>
          <w:szCs w:val="24"/>
        </w:rPr>
        <w:t>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Для организации учебного процесса действует автоматизированная информационная система управления учебным процессом на юридическом факультете МГУ имени М.В. Ломоносова (АИС Студент) доступ </w:t>
      </w:r>
      <w:r>
        <w:fldChar w:fldCharType="begin"/>
      </w:r>
      <w:r>
        <w:instrText xml:space="preserve"> HYPERLINK "http://cacs.law.msu.ru/" </w:instrText>
      </w:r>
      <w:r>
        <w:fldChar w:fldCharType="separate"/>
      </w:r>
      <w:r>
        <w:rPr>
          <w:rStyle w:val="10"/>
          <w:rFonts w:ascii="Cambria" w:hAnsi="Cambria"/>
          <w:color w:val="auto"/>
          <w:sz w:val="24"/>
          <w:szCs w:val="24"/>
        </w:rPr>
        <w:t>http://cacs.law.msu.ru/</w:t>
      </w:r>
      <w:r>
        <w:rPr>
          <w:rStyle w:val="10"/>
          <w:rFonts w:ascii="Cambria" w:hAnsi="Cambria"/>
          <w:color w:val="auto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, где обеспечена возможность доступа к электронному расписанию, рабочему учебному плану, электронному журналу, учебно-методической документации и материалам по учебным курсам, дисциплинам.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Финансовое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Финансовое обеспечение осуществляется в размере средств, утвержденных Ученым советом МГУ имени М.В. Ломоносова, и осуществляется в объеме не ниже установленных нормативов финансирования.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9. Нормативно-методические документы, регулирующие учебный процесс и обеспечивающие качество подготовки обучающихся: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-Правила внутреннего распорядка, введены в действие приказом Ректора МГУ имени М.В. Ломоносова от 10.09.2008 г., № 660;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проведения практики обучающихся МГУ имени М.В. Ломоносова от 25.04.2016 г., № 3;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переводах студентов, утв. Ученым советом МГУ имени М.В. Ломоносова от 18.05.1998 г.;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направления студентов (бакалавров, магистров, специалистов) на включенное обучение, принято Ученым советом МГУ имени М.В. Ломоносова от 17.06.2013 г., № 2;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проведения экзаменов и зачетов, утв. Ученым советом Юридического факультета МГУ имени М.В. Ломоносова от 18.05.2007г., протокол №4;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проведения практики студентов Юридического факультета МГУ имени М.В. Ломоносова, утв. Ученым советом Юридического факультета МГУ имени М.В. Ломоносова от 26.12.2011, протокол № 10;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пересдачи экзаменов на повышение оценки, утв. Ученым советом Юридического факультета МГУ имени М.В. Ломоносова от 19.10.2012 г., протокол №7 (с изм. от 25.12.2013 г, протокол № 11, 31.10.2014 г., протокол № 8);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Положение о текущей аттестации на Юридическом факультете МГУ имени М.В. Ломоносова, утв. Ученым советом МГУ имени М.В. Ломоносова от 26.12.2003 г. (в ред. от 19.03.2004 г., 21.05.2010 г., 25.12.2013 г., 18.11.2016 г.);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-Порядок распределения по профилям подготовки студентов Юридического факультета, обучающихся по направлению «Юриспруденция», утв. Ученым советом Юридического факультета МГУ имени М.В. Ломоносова от 18.05.2012г., протокол №4;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-Положение о применении электронного обучения и дистанционных образовательных технологий при реализации образовательных программ высшего образования в МГУ имени М.В. Ломоносова от 27.08.2015 г.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Положение о порядке проведения государственной итоговой аттестации по программам бакалавриата, программам специалитета и программам магистратуры МГУ имени М.В. Ломоносова, утв. Ректором МГУ имени М.В. Ломоносова от 06.12.2016 г., № 1413.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-Методические рекомендации о порядке проведения экзаменов и зачетов, утв. Ученым советом Юридического факультета МГУ имени М.В. Ломоносова от 18.05.2007 г., протокол № 4.</w:t>
      </w:r>
    </w:p>
    <w:p>
      <w:pPr>
        <w:pStyle w:val="3"/>
        <w:spacing w:line="360" w:lineRule="auto"/>
        <w:rPr>
          <w:rFonts w:ascii="Cambria" w:hAnsi="Cambria"/>
          <w:b/>
          <w:i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</w:p>
    <w:sectPr>
      <w:footerReference r:id="rId4" w:type="default"/>
      <w:pgSz w:w="11906" w:h="16838"/>
      <w:pgMar w:top="1134" w:right="1134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34</w:t>
    </w:r>
    <w:r>
      <w:rPr>
        <w:rStyle w:val="11"/>
      </w:rP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</w:pPr>
      <w:r>
        <w:rPr>
          <w:rStyle w:val="8"/>
        </w:rPr>
        <w:footnoteRef/>
      </w:r>
      <w:r>
        <w:t xml:space="preserve"> Дисциплины обязательные для освоения всеми обучающимися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C8D"/>
    <w:multiLevelType w:val="multilevel"/>
    <w:tmpl w:val="03155C8D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7227309"/>
    <w:multiLevelType w:val="multilevel"/>
    <w:tmpl w:val="27227309"/>
    <w:lvl w:ilvl="0" w:tentative="0">
      <w:start w:val="1"/>
      <w:numFmt w:val="bullet"/>
      <w:pStyle w:val="26"/>
      <w:lvlText w:val=""/>
      <w:lvlJc w:val="left"/>
      <w:pPr>
        <w:tabs>
          <w:tab w:val="left" w:pos="1077"/>
        </w:tabs>
        <w:ind w:left="1077" w:hanging="35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22D2EF1"/>
    <w:multiLevelType w:val="multilevel"/>
    <w:tmpl w:val="622D2EF1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4110"/>
    <w:rsid w:val="00003D2D"/>
    <w:rsid w:val="00010791"/>
    <w:rsid w:val="0001442C"/>
    <w:rsid w:val="00016C1D"/>
    <w:rsid w:val="00016E1D"/>
    <w:rsid w:val="000254C1"/>
    <w:rsid w:val="00031618"/>
    <w:rsid w:val="000341CD"/>
    <w:rsid w:val="000348A2"/>
    <w:rsid w:val="00037168"/>
    <w:rsid w:val="00037594"/>
    <w:rsid w:val="00040E29"/>
    <w:rsid w:val="000433F4"/>
    <w:rsid w:val="000536C9"/>
    <w:rsid w:val="00053A8F"/>
    <w:rsid w:val="00056EA2"/>
    <w:rsid w:val="000649B7"/>
    <w:rsid w:val="00071261"/>
    <w:rsid w:val="00071D94"/>
    <w:rsid w:val="000741A0"/>
    <w:rsid w:val="000751FD"/>
    <w:rsid w:val="00075B2B"/>
    <w:rsid w:val="00081C58"/>
    <w:rsid w:val="000839B8"/>
    <w:rsid w:val="00084A24"/>
    <w:rsid w:val="00085117"/>
    <w:rsid w:val="00085321"/>
    <w:rsid w:val="000900D2"/>
    <w:rsid w:val="00090739"/>
    <w:rsid w:val="000A1F88"/>
    <w:rsid w:val="000A4D60"/>
    <w:rsid w:val="000A5180"/>
    <w:rsid w:val="000B01E4"/>
    <w:rsid w:val="000B290C"/>
    <w:rsid w:val="000B5A81"/>
    <w:rsid w:val="000B62E0"/>
    <w:rsid w:val="000B765D"/>
    <w:rsid w:val="000C0C52"/>
    <w:rsid w:val="000C1F44"/>
    <w:rsid w:val="000C2D40"/>
    <w:rsid w:val="000C342A"/>
    <w:rsid w:val="000D0526"/>
    <w:rsid w:val="000D6677"/>
    <w:rsid w:val="000D7C43"/>
    <w:rsid w:val="000D7EA7"/>
    <w:rsid w:val="000E0C58"/>
    <w:rsid w:val="000E47D7"/>
    <w:rsid w:val="000E6BBD"/>
    <w:rsid w:val="000E6ED2"/>
    <w:rsid w:val="000F0DA2"/>
    <w:rsid w:val="000F12B1"/>
    <w:rsid w:val="000F438B"/>
    <w:rsid w:val="000F69B4"/>
    <w:rsid w:val="000F6E5A"/>
    <w:rsid w:val="000F7D0C"/>
    <w:rsid w:val="001000E3"/>
    <w:rsid w:val="0010017F"/>
    <w:rsid w:val="00100C2B"/>
    <w:rsid w:val="00105CFB"/>
    <w:rsid w:val="00106B24"/>
    <w:rsid w:val="0010796A"/>
    <w:rsid w:val="0011402A"/>
    <w:rsid w:val="00115635"/>
    <w:rsid w:val="00115ABC"/>
    <w:rsid w:val="001169FB"/>
    <w:rsid w:val="00116C6D"/>
    <w:rsid w:val="001179C4"/>
    <w:rsid w:val="00127668"/>
    <w:rsid w:val="001321CB"/>
    <w:rsid w:val="001403DB"/>
    <w:rsid w:val="00141FFA"/>
    <w:rsid w:val="00142994"/>
    <w:rsid w:val="001433EF"/>
    <w:rsid w:val="00144C96"/>
    <w:rsid w:val="00144D1B"/>
    <w:rsid w:val="00144F9E"/>
    <w:rsid w:val="00145220"/>
    <w:rsid w:val="001479D2"/>
    <w:rsid w:val="00150929"/>
    <w:rsid w:val="00153189"/>
    <w:rsid w:val="00154110"/>
    <w:rsid w:val="00156C80"/>
    <w:rsid w:val="00157EE1"/>
    <w:rsid w:val="00163054"/>
    <w:rsid w:val="001636BD"/>
    <w:rsid w:val="00164E0A"/>
    <w:rsid w:val="00170CC8"/>
    <w:rsid w:val="001718F9"/>
    <w:rsid w:val="0017296C"/>
    <w:rsid w:val="00176559"/>
    <w:rsid w:val="00176626"/>
    <w:rsid w:val="00176790"/>
    <w:rsid w:val="001771B7"/>
    <w:rsid w:val="001776C6"/>
    <w:rsid w:val="001800F2"/>
    <w:rsid w:val="00183392"/>
    <w:rsid w:val="00184710"/>
    <w:rsid w:val="0018536F"/>
    <w:rsid w:val="001853DB"/>
    <w:rsid w:val="001869F5"/>
    <w:rsid w:val="00186CA0"/>
    <w:rsid w:val="001943BC"/>
    <w:rsid w:val="00197854"/>
    <w:rsid w:val="001A09CD"/>
    <w:rsid w:val="001A1231"/>
    <w:rsid w:val="001A280D"/>
    <w:rsid w:val="001A3E91"/>
    <w:rsid w:val="001A4838"/>
    <w:rsid w:val="001A60BD"/>
    <w:rsid w:val="001A6784"/>
    <w:rsid w:val="001A77F0"/>
    <w:rsid w:val="001B03B3"/>
    <w:rsid w:val="001B0B1B"/>
    <w:rsid w:val="001B26E2"/>
    <w:rsid w:val="001B282A"/>
    <w:rsid w:val="001B2CD2"/>
    <w:rsid w:val="001B4438"/>
    <w:rsid w:val="001B4AA4"/>
    <w:rsid w:val="001C27ED"/>
    <w:rsid w:val="001C2CBB"/>
    <w:rsid w:val="001C2CC6"/>
    <w:rsid w:val="001C2FFD"/>
    <w:rsid w:val="001C49B0"/>
    <w:rsid w:val="001C5753"/>
    <w:rsid w:val="001C5F5F"/>
    <w:rsid w:val="001C65FB"/>
    <w:rsid w:val="001C6FCC"/>
    <w:rsid w:val="001D0C89"/>
    <w:rsid w:val="001D1406"/>
    <w:rsid w:val="001D1F1D"/>
    <w:rsid w:val="001D2485"/>
    <w:rsid w:val="001D5871"/>
    <w:rsid w:val="001D6170"/>
    <w:rsid w:val="001D722D"/>
    <w:rsid w:val="001E24CA"/>
    <w:rsid w:val="001E7A87"/>
    <w:rsid w:val="001F1AD6"/>
    <w:rsid w:val="001F26E4"/>
    <w:rsid w:val="001F50BB"/>
    <w:rsid w:val="001F6EE6"/>
    <w:rsid w:val="001F739E"/>
    <w:rsid w:val="001F7F75"/>
    <w:rsid w:val="00202108"/>
    <w:rsid w:val="00202135"/>
    <w:rsid w:val="002023D3"/>
    <w:rsid w:val="00202925"/>
    <w:rsid w:val="00202EB2"/>
    <w:rsid w:val="002037A3"/>
    <w:rsid w:val="00207C8B"/>
    <w:rsid w:val="00211112"/>
    <w:rsid w:val="002128AB"/>
    <w:rsid w:val="00212EC2"/>
    <w:rsid w:val="0021318F"/>
    <w:rsid w:val="0021459D"/>
    <w:rsid w:val="00214674"/>
    <w:rsid w:val="00214751"/>
    <w:rsid w:val="00217B16"/>
    <w:rsid w:val="00217FA7"/>
    <w:rsid w:val="0022021A"/>
    <w:rsid w:val="00220C6A"/>
    <w:rsid w:val="00222415"/>
    <w:rsid w:val="00222B92"/>
    <w:rsid w:val="002241E6"/>
    <w:rsid w:val="00225113"/>
    <w:rsid w:val="002307B7"/>
    <w:rsid w:val="0023110C"/>
    <w:rsid w:val="00232EDB"/>
    <w:rsid w:val="0023668C"/>
    <w:rsid w:val="00237877"/>
    <w:rsid w:val="0024049B"/>
    <w:rsid w:val="002419CB"/>
    <w:rsid w:val="00241FC8"/>
    <w:rsid w:val="00242108"/>
    <w:rsid w:val="00242B2B"/>
    <w:rsid w:val="0024392A"/>
    <w:rsid w:val="002440A6"/>
    <w:rsid w:val="00244515"/>
    <w:rsid w:val="0025075E"/>
    <w:rsid w:val="002516D9"/>
    <w:rsid w:val="00255BA2"/>
    <w:rsid w:val="00255F9A"/>
    <w:rsid w:val="002575C3"/>
    <w:rsid w:val="00257DEC"/>
    <w:rsid w:val="0026036E"/>
    <w:rsid w:val="00260809"/>
    <w:rsid w:val="00264655"/>
    <w:rsid w:val="0026493A"/>
    <w:rsid w:val="0026717C"/>
    <w:rsid w:val="0027062D"/>
    <w:rsid w:val="0027267F"/>
    <w:rsid w:val="00272DDA"/>
    <w:rsid w:val="00275A1C"/>
    <w:rsid w:val="00275DA1"/>
    <w:rsid w:val="0027609F"/>
    <w:rsid w:val="002770AB"/>
    <w:rsid w:val="0028076E"/>
    <w:rsid w:val="00281878"/>
    <w:rsid w:val="00281FB4"/>
    <w:rsid w:val="002851E5"/>
    <w:rsid w:val="002857DD"/>
    <w:rsid w:val="00285FCA"/>
    <w:rsid w:val="00286132"/>
    <w:rsid w:val="00292CEA"/>
    <w:rsid w:val="00295FBA"/>
    <w:rsid w:val="002A042C"/>
    <w:rsid w:val="002A06B2"/>
    <w:rsid w:val="002A45B3"/>
    <w:rsid w:val="002A461D"/>
    <w:rsid w:val="002A61FC"/>
    <w:rsid w:val="002A68FA"/>
    <w:rsid w:val="002A6C7D"/>
    <w:rsid w:val="002B27D5"/>
    <w:rsid w:val="002B2815"/>
    <w:rsid w:val="002B67B5"/>
    <w:rsid w:val="002C0306"/>
    <w:rsid w:val="002C31EC"/>
    <w:rsid w:val="002C4B25"/>
    <w:rsid w:val="002C5DA8"/>
    <w:rsid w:val="002C6136"/>
    <w:rsid w:val="002C67D5"/>
    <w:rsid w:val="002D0E7F"/>
    <w:rsid w:val="002E0065"/>
    <w:rsid w:val="002E0B15"/>
    <w:rsid w:val="002E15DD"/>
    <w:rsid w:val="002E3567"/>
    <w:rsid w:val="002E62D3"/>
    <w:rsid w:val="002E66CD"/>
    <w:rsid w:val="002F0C99"/>
    <w:rsid w:val="002F0D73"/>
    <w:rsid w:val="002F2531"/>
    <w:rsid w:val="00300007"/>
    <w:rsid w:val="0030002A"/>
    <w:rsid w:val="00301AD4"/>
    <w:rsid w:val="00303727"/>
    <w:rsid w:val="00303ACD"/>
    <w:rsid w:val="00303B32"/>
    <w:rsid w:val="00305245"/>
    <w:rsid w:val="003052ED"/>
    <w:rsid w:val="00305943"/>
    <w:rsid w:val="0031081A"/>
    <w:rsid w:val="00311EC7"/>
    <w:rsid w:val="00312E31"/>
    <w:rsid w:val="00313060"/>
    <w:rsid w:val="0031454E"/>
    <w:rsid w:val="00322A1C"/>
    <w:rsid w:val="00325866"/>
    <w:rsid w:val="00325B85"/>
    <w:rsid w:val="00325D85"/>
    <w:rsid w:val="00326E3B"/>
    <w:rsid w:val="00327620"/>
    <w:rsid w:val="0032767B"/>
    <w:rsid w:val="00331262"/>
    <w:rsid w:val="00333416"/>
    <w:rsid w:val="00334A79"/>
    <w:rsid w:val="003352A4"/>
    <w:rsid w:val="00336006"/>
    <w:rsid w:val="003401FB"/>
    <w:rsid w:val="00340948"/>
    <w:rsid w:val="003419D3"/>
    <w:rsid w:val="00342CD9"/>
    <w:rsid w:val="0034300E"/>
    <w:rsid w:val="003434BE"/>
    <w:rsid w:val="003438E6"/>
    <w:rsid w:val="0034543A"/>
    <w:rsid w:val="0035127E"/>
    <w:rsid w:val="003530C6"/>
    <w:rsid w:val="0035338D"/>
    <w:rsid w:val="0035612F"/>
    <w:rsid w:val="00360E90"/>
    <w:rsid w:val="00363837"/>
    <w:rsid w:val="0036438C"/>
    <w:rsid w:val="00366C7C"/>
    <w:rsid w:val="003670B7"/>
    <w:rsid w:val="00367673"/>
    <w:rsid w:val="00370ECE"/>
    <w:rsid w:val="00372132"/>
    <w:rsid w:val="00376582"/>
    <w:rsid w:val="00380EFE"/>
    <w:rsid w:val="00385548"/>
    <w:rsid w:val="00387484"/>
    <w:rsid w:val="003878FF"/>
    <w:rsid w:val="00390C29"/>
    <w:rsid w:val="00393339"/>
    <w:rsid w:val="00393829"/>
    <w:rsid w:val="00396168"/>
    <w:rsid w:val="003975A7"/>
    <w:rsid w:val="003A2A28"/>
    <w:rsid w:val="003A2A5F"/>
    <w:rsid w:val="003A3CDA"/>
    <w:rsid w:val="003A4AC0"/>
    <w:rsid w:val="003A5348"/>
    <w:rsid w:val="003A5733"/>
    <w:rsid w:val="003A5D10"/>
    <w:rsid w:val="003A7E85"/>
    <w:rsid w:val="003B013C"/>
    <w:rsid w:val="003B0E39"/>
    <w:rsid w:val="003B2E11"/>
    <w:rsid w:val="003B372A"/>
    <w:rsid w:val="003B6F78"/>
    <w:rsid w:val="003B7579"/>
    <w:rsid w:val="003B7883"/>
    <w:rsid w:val="003C02A6"/>
    <w:rsid w:val="003C2313"/>
    <w:rsid w:val="003C5229"/>
    <w:rsid w:val="003C5FB2"/>
    <w:rsid w:val="003C6B77"/>
    <w:rsid w:val="003C7B27"/>
    <w:rsid w:val="003D001A"/>
    <w:rsid w:val="003D212E"/>
    <w:rsid w:val="003D2DE7"/>
    <w:rsid w:val="003D4243"/>
    <w:rsid w:val="003D7A78"/>
    <w:rsid w:val="003D7C82"/>
    <w:rsid w:val="003E36E0"/>
    <w:rsid w:val="003E3EF8"/>
    <w:rsid w:val="003E49BB"/>
    <w:rsid w:val="003E4EEA"/>
    <w:rsid w:val="003E56EA"/>
    <w:rsid w:val="003E624A"/>
    <w:rsid w:val="003E764D"/>
    <w:rsid w:val="003F01F8"/>
    <w:rsid w:val="003F18F1"/>
    <w:rsid w:val="003F3F7C"/>
    <w:rsid w:val="003F4642"/>
    <w:rsid w:val="003F76DD"/>
    <w:rsid w:val="003F796D"/>
    <w:rsid w:val="004052F6"/>
    <w:rsid w:val="004111B9"/>
    <w:rsid w:val="0041247B"/>
    <w:rsid w:val="0041289A"/>
    <w:rsid w:val="00412AE4"/>
    <w:rsid w:val="0041380B"/>
    <w:rsid w:val="00413BD7"/>
    <w:rsid w:val="004141E6"/>
    <w:rsid w:val="0041547D"/>
    <w:rsid w:val="00416C24"/>
    <w:rsid w:val="00416EEC"/>
    <w:rsid w:val="004209BC"/>
    <w:rsid w:val="00420E14"/>
    <w:rsid w:val="0042171A"/>
    <w:rsid w:val="00431E7B"/>
    <w:rsid w:val="00432085"/>
    <w:rsid w:val="00432491"/>
    <w:rsid w:val="00434253"/>
    <w:rsid w:val="00434C3C"/>
    <w:rsid w:val="00441DBD"/>
    <w:rsid w:val="0044355D"/>
    <w:rsid w:val="004469D1"/>
    <w:rsid w:val="0045412F"/>
    <w:rsid w:val="00454CDE"/>
    <w:rsid w:val="00454FE8"/>
    <w:rsid w:val="0045521F"/>
    <w:rsid w:val="00455E99"/>
    <w:rsid w:val="00456A48"/>
    <w:rsid w:val="004601F5"/>
    <w:rsid w:val="00461C7C"/>
    <w:rsid w:val="004625AC"/>
    <w:rsid w:val="004643C8"/>
    <w:rsid w:val="004645A3"/>
    <w:rsid w:val="00465EE5"/>
    <w:rsid w:val="00466C62"/>
    <w:rsid w:val="004747B3"/>
    <w:rsid w:val="00480E47"/>
    <w:rsid w:val="004830E3"/>
    <w:rsid w:val="0048522B"/>
    <w:rsid w:val="004857E8"/>
    <w:rsid w:val="00486569"/>
    <w:rsid w:val="00490B65"/>
    <w:rsid w:val="00490EED"/>
    <w:rsid w:val="00491954"/>
    <w:rsid w:val="00491DC4"/>
    <w:rsid w:val="004922BC"/>
    <w:rsid w:val="004923DD"/>
    <w:rsid w:val="00493DB0"/>
    <w:rsid w:val="004940B9"/>
    <w:rsid w:val="00495C7F"/>
    <w:rsid w:val="004A05D2"/>
    <w:rsid w:val="004A1CBD"/>
    <w:rsid w:val="004A29C2"/>
    <w:rsid w:val="004A4401"/>
    <w:rsid w:val="004A5A7B"/>
    <w:rsid w:val="004B188C"/>
    <w:rsid w:val="004B29F5"/>
    <w:rsid w:val="004B3E32"/>
    <w:rsid w:val="004B5A22"/>
    <w:rsid w:val="004B5AA9"/>
    <w:rsid w:val="004B5EA1"/>
    <w:rsid w:val="004B6224"/>
    <w:rsid w:val="004C032D"/>
    <w:rsid w:val="004C0CA0"/>
    <w:rsid w:val="004C1881"/>
    <w:rsid w:val="004C73AD"/>
    <w:rsid w:val="004D17F1"/>
    <w:rsid w:val="004D1854"/>
    <w:rsid w:val="004D4CFC"/>
    <w:rsid w:val="004D7D0C"/>
    <w:rsid w:val="004E08CE"/>
    <w:rsid w:val="004E5212"/>
    <w:rsid w:val="004E64D5"/>
    <w:rsid w:val="004E7984"/>
    <w:rsid w:val="004E7B58"/>
    <w:rsid w:val="004F1F50"/>
    <w:rsid w:val="004F4571"/>
    <w:rsid w:val="004F5F2A"/>
    <w:rsid w:val="004F7056"/>
    <w:rsid w:val="004F73B7"/>
    <w:rsid w:val="005002C9"/>
    <w:rsid w:val="0050170B"/>
    <w:rsid w:val="00501A63"/>
    <w:rsid w:val="00504059"/>
    <w:rsid w:val="00510C1E"/>
    <w:rsid w:val="00512A3B"/>
    <w:rsid w:val="005136F8"/>
    <w:rsid w:val="00513B9C"/>
    <w:rsid w:val="005166EE"/>
    <w:rsid w:val="00517192"/>
    <w:rsid w:val="00521A30"/>
    <w:rsid w:val="00522725"/>
    <w:rsid w:val="0052599B"/>
    <w:rsid w:val="00530CC9"/>
    <w:rsid w:val="0053345A"/>
    <w:rsid w:val="005335B8"/>
    <w:rsid w:val="00533B16"/>
    <w:rsid w:val="00535C73"/>
    <w:rsid w:val="00536FBB"/>
    <w:rsid w:val="00537267"/>
    <w:rsid w:val="00537CEC"/>
    <w:rsid w:val="00542162"/>
    <w:rsid w:val="005422D7"/>
    <w:rsid w:val="00544EF6"/>
    <w:rsid w:val="005466A4"/>
    <w:rsid w:val="00550B3B"/>
    <w:rsid w:val="0055148D"/>
    <w:rsid w:val="0055198B"/>
    <w:rsid w:val="0055320A"/>
    <w:rsid w:val="00555E8A"/>
    <w:rsid w:val="00556139"/>
    <w:rsid w:val="0056373C"/>
    <w:rsid w:val="0056535C"/>
    <w:rsid w:val="0056718D"/>
    <w:rsid w:val="00567B52"/>
    <w:rsid w:val="00567C8B"/>
    <w:rsid w:val="00572D55"/>
    <w:rsid w:val="005730F7"/>
    <w:rsid w:val="00573302"/>
    <w:rsid w:val="00575C2F"/>
    <w:rsid w:val="00576FB9"/>
    <w:rsid w:val="00581770"/>
    <w:rsid w:val="00582E4B"/>
    <w:rsid w:val="00584C62"/>
    <w:rsid w:val="0058614E"/>
    <w:rsid w:val="00587AC7"/>
    <w:rsid w:val="005921DD"/>
    <w:rsid w:val="00593217"/>
    <w:rsid w:val="0059350A"/>
    <w:rsid w:val="00593D4B"/>
    <w:rsid w:val="00593F3B"/>
    <w:rsid w:val="0059744D"/>
    <w:rsid w:val="005A1E05"/>
    <w:rsid w:val="005A4169"/>
    <w:rsid w:val="005B0156"/>
    <w:rsid w:val="005B072D"/>
    <w:rsid w:val="005C4FCF"/>
    <w:rsid w:val="005C53CC"/>
    <w:rsid w:val="005C5DB9"/>
    <w:rsid w:val="005D6216"/>
    <w:rsid w:val="005E3BB6"/>
    <w:rsid w:val="005E42FF"/>
    <w:rsid w:val="005E5129"/>
    <w:rsid w:val="005E5975"/>
    <w:rsid w:val="005E634A"/>
    <w:rsid w:val="005E63F6"/>
    <w:rsid w:val="005E6719"/>
    <w:rsid w:val="005E6E8B"/>
    <w:rsid w:val="005E7D68"/>
    <w:rsid w:val="005F5921"/>
    <w:rsid w:val="005F7E97"/>
    <w:rsid w:val="00600853"/>
    <w:rsid w:val="00600AE7"/>
    <w:rsid w:val="00601178"/>
    <w:rsid w:val="00601FC5"/>
    <w:rsid w:val="00602148"/>
    <w:rsid w:val="006047B4"/>
    <w:rsid w:val="00605ECA"/>
    <w:rsid w:val="00607D89"/>
    <w:rsid w:val="00607E4E"/>
    <w:rsid w:val="00611866"/>
    <w:rsid w:val="00611C10"/>
    <w:rsid w:val="00612C57"/>
    <w:rsid w:val="00614746"/>
    <w:rsid w:val="0061579E"/>
    <w:rsid w:val="00617A6E"/>
    <w:rsid w:val="0062054D"/>
    <w:rsid w:val="00622E9B"/>
    <w:rsid w:val="00626FD0"/>
    <w:rsid w:val="0063043A"/>
    <w:rsid w:val="00630B69"/>
    <w:rsid w:val="006321F9"/>
    <w:rsid w:val="006336CF"/>
    <w:rsid w:val="00635027"/>
    <w:rsid w:val="00635C1F"/>
    <w:rsid w:val="00635F00"/>
    <w:rsid w:val="0063739A"/>
    <w:rsid w:val="00640734"/>
    <w:rsid w:val="00641859"/>
    <w:rsid w:val="00641D0B"/>
    <w:rsid w:val="00641E3E"/>
    <w:rsid w:val="006463E8"/>
    <w:rsid w:val="006477A8"/>
    <w:rsid w:val="006527F7"/>
    <w:rsid w:val="00654303"/>
    <w:rsid w:val="0065465D"/>
    <w:rsid w:val="00654D67"/>
    <w:rsid w:val="00655FBF"/>
    <w:rsid w:val="00657D4F"/>
    <w:rsid w:val="00661B57"/>
    <w:rsid w:val="00661D7F"/>
    <w:rsid w:val="006625E8"/>
    <w:rsid w:val="00664FC2"/>
    <w:rsid w:val="006673FB"/>
    <w:rsid w:val="00674BD9"/>
    <w:rsid w:val="00675220"/>
    <w:rsid w:val="00677E6B"/>
    <w:rsid w:val="006802E7"/>
    <w:rsid w:val="00680EEF"/>
    <w:rsid w:val="006811A3"/>
    <w:rsid w:val="00681A99"/>
    <w:rsid w:val="00683E94"/>
    <w:rsid w:val="00685C87"/>
    <w:rsid w:val="00690E8F"/>
    <w:rsid w:val="00691151"/>
    <w:rsid w:val="00692951"/>
    <w:rsid w:val="00694267"/>
    <w:rsid w:val="00694A70"/>
    <w:rsid w:val="00694A87"/>
    <w:rsid w:val="00695411"/>
    <w:rsid w:val="006A0336"/>
    <w:rsid w:val="006A05F4"/>
    <w:rsid w:val="006A13B5"/>
    <w:rsid w:val="006A297C"/>
    <w:rsid w:val="006A3AB3"/>
    <w:rsid w:val="006A4D33"/>
    <w:rsid w:val="006A70E1"/>
    <w:rsid w:val="006B092B"/>
    <w:rsid w:val="006B0AB6"/>
    <w:rsid w:val="006B0C72"/>
    <w:rsid w:val="006B6FD7"/>
    <w:rsid w:val="006C1723"/>
    <w:rsid w:val="006C31DC"/>
    <w:rsid w:val="006C4E83"/>
    <w:rsid w:val="006C5420"/>
    <w:rsid w:val="006C5B26"/>
    <w:rsid w:val="006C7179"/>
    <w:rsid w:val="006C7EE8"/>
    <w:rsid w:val="006D69AC"/>
    <w:rsid w:val="006E184E"/>
    <w:rsid w:val="006E1CD5"/>
    <w:rsid w:val="006E378F"/>
    <w:rsid w:val="006E529C"/>
    <w:rsid w:val="006E6869"/>
    <w:rsid w:val="006F3A60"/>
    <w:rsid w:val="006F4425"/>
    <w:rsid w:val="006F563F"/>
    <w:rsid w:val="006F5BEE"/>
    <w:rsid w:val="006F6E6A"/>
    <w:rsid w:val="00700B01"/>
    <w:rsid w:val="00703722"/>
    <w:rsid w:val="00703D42"/>
    <w:rsid w:val="00703D8B"/>
    <w:rsid w:val="00704D56"/>
    <w:rsid w:val="00706B6B"/>
    <w:rsid w:val="00706BE8"/>
    <w:rsid w:val="00706C02"/>
    <w:rsid w:val="00707E49"/>
    <w:rsid w:val="00710EC5"/>
    <w:rsid w:val="00710FFC"/>
    <w:rsid w:val="007116D4"/>
    <w:rsid w:val="00711C78"/>
    <w:rsid w:val="00713AA9"/>
    <w:rsid w:val="0071434A"/>
    <w:rsid w:val="00715B76"/>
    <w:rsid w:val="007172FD"/>
    <w:rsid w:val="00717F5C"/>
    <w:rsid w:val="00721491"/>
    <w:rsid w:val="00725E2A"/>
    <w:rsid w:val="00727585"/>
    <w:rsid w:val="00727F53"/>
    <w:rsid w:val="00730339"/>
    <w:rsid w:val="007371CF"/>
    <w:rsid w:val="00740914"/>
    <w:rsid w:val="007479DA"/>
    <w:rsid w:val="007505C7"/>
    <w:rsid w:val="00752DCD"/>
    <w:rsid w:val="00753469"/>
    <w:rsid w:val="0075575F"/>
    <w:rsid w:val="00757F3E"/>
    <w:rsid w:val="0076055F"/>
    <w:rsid w:val="0076125A"/>
    <w:rsid w:val="00761E6A"/>
    <w:rsid w:val="00764119"/>
    <w:rsid w:val="007648AC"/>
    <w:rsid w:val="00771706"/>
    <w:rsid w:val="00772849"/>
    <w:rsid w:val="00781253"/>
    <w:rsid w:val="00783567"/>
    <w:rsid w:val="0078440C"/>
    <w:rsid w:val="00784E2D"/>
    <w:rsid w:val="007877BB"/>
    <w:rsid w:val="00791868"/>
    <w:rsid w:val="00793E02"/>
    <w:rsid w:val="00795666"/>
    <w:rsid w:val="00795A73"/>
    <w:rsid w:val="00795C95"/>
    <w:rsid w:val="00795EF9"/>
    <w:rsid w:val="00796772"/>
    <w:rsid w:val="007A018C"/>
    <w:rsid w:val="007A272D"/>
    <w:rsid w:val="007A54CF"/>
    <w:rsid w:val="007B01D9"/>
    <w:rsid w:val="007B14A3"/>
    <w:rsid w:val="007B2E9E"/>
    <w:rsid w:val="007B4CE9"/>
    <w:rsid w:val="007C0EDB"/>
    <w:rsid w:val="007C1721"/>
    <w:rsid w:val="007C281B"/>
    <w:rsid w:val="007C3943"/>
    <w:rsid w:val="007C3C47"/>
    <w:rsid w:val="007C4580"/>
    <w:rsid w:val="007C6233"/>
    <w:rsid w:val="007C684A"/>
    <w:rsid w:val="007C6A28"/>
    <w:rsid w:val="007D2477"/>
    <w:rsid w:val="007D2980"/>
    <w:rsid w:val="007D499F"/>
    <w:rsid w:val="007E204D"/>
    <w:rsid w:val="007E2464"/>
    <w:rsid w:val="007E2CFF"/>
    <w:rsid w:val="007E30D9"/>
    <w:rsid w:val="007E4B5C"/>
    <w:rsid w:val="007E53CC"/>
    <w:rsid w:val="007E5C60"/>
    <w:rsid w:val="007E67DA"/>
    <w:rsid w:val="007E7338"/>
    <w:rsid w:val="007F3818"/>
    <w:rsid w:val="007F5DC0"/>
    <w:rsid w:val="007F65A1"/>
    <w:rsid w:val="007F6ACC"/>
    <w:rsid w:val="008029CB"/>
    <w:rsid w:val="00805A03"/>
    <w:rsid w:val="00806AC4"/>
    <w:rsid w:val="008075D8"/>
    <w:rsid w:val="0081203D"/>
    <w:rsid w:val="00812509"/>
    <w:rsid w:val="0081400C"/>
    <w:rsid w:val="0081493F"/>
    <w:rsid w:val="0081539C"/>
    <w:rsid w:val="008234AD"/>
    <w:rsid w:val="00823EB7"/>
    <w:rsid w:val="00824333"/>
    <w:rsid w:val="00826558"/>
    <w:rsid w:val="0082692A"/>
    <w:rsid w:val="00827554"/>
    <w:rsid w:val="00832B15"/>
    <w:rsid w:val="00832E0A"/>
    <w:rsid w:val="008331CC"/>
    <w:rsid w:val="00833779"/>
    <w:rsid w:val="0083478A"/>
    <w:rsid w:val="00836843"/>
    <w:rsid w:val="00841FB3"/>
    <w:rsid w:val="00844380"/>
    <w:rsid w:val="008450B4"/>
    <w:rsid w:val="00852E50"/>
    <w:rsid w:val="00853F0D"/>
    <w:rsid w:val="00854FCB"/>
    <w:rsid w:val="00861BB5"/>
    <w:rsid w:val="0086417A"/>
    <w:rsid w:val="00866EDC"/>
    <w:rsid w:val="00867782"/>
    <w:rsid w:val="0087026F"/>
    <w:rsid w:val="0087114A"/>
    <w:rsid w:val="00872500"/>
    <w:rsid w:val="00873208"/>
    <w:rsid w:val="00873244"/>
    <w:rsid w:val="00873E64"/>
    <w:rsid w:val="00873F36"/>
    <w:rsid w:val="008764B8"/>
    <w:rsid w:val="00882C3D"/>
    <w:rsid w:val="00886C74"/>
    <w:rsid w:val="0088718E"/>
    <w:rsid w:val="00891B14"/>
    <w:rsid w:val="008923F6"/>
    <w:rsid w:val="0089631B"/>
    <w:rsid w:val="00896EC4"/>
    <w:rsid w:val="008A084A"/>
    <w:rsid w:val="008A35FB"/>
    <w:rsid w:val="008A3852"/>
    <w:rsid w:val="008A428A"/>
    <w:rsid w:val="008A53CF"/>
    <w:rsid w:val="008A5572"/>
    <w:rsid w:val="008A5916"/>
    <w:rsid w:val="008A6BEB"/>
    <w:rsid w:val="008B1FC1"/>
    <w:rsid w:val="008B2E87"/>
    <w:rsid w:val="008C24A5"/>
    <w:rsid w:val="008C2548"/>
    <w:rsid w:val="008C3773"/>
    <w:rsid w:val="008C3885"/>
    <w:rsid w:val="008C4157"/>
    <w:rsid w:val="008C5E01"/>
    <w:rsid w:val="008C7E40"/>
    <w:rsid w:val="008D15E9"/>
    <w:rsid w:val="008D2372"/>
    <w:rsid w:val="008D3D29"/>
    <w:rsid w:val="008D5676"/>
    <w:rsid w:val="008E0324"/>
    <w:rsid w:val="008E284A"/>
    <w:rsid w:val="008E4974"/>
    <w:rsid w:val="008E72D4"/>
    <w:rsid w:val="008F288F"/>
    <w:rsid w:val="008F4C92"/>
    <w:rsid w:val="008F5875"/>
    <w:rsid w:val="008F7257"/>
    <w:rsid w:val="00900A62"/>
    <w:rsid w:val="00905277"/>
    <w:rsid w:val="00905BF2"/>
    <w:rsid w:val="00906D19"/>
    <w:rsid w:val="00910DC8"/>
    <w:rsid w:val="00911C71"/>
    <w:rsid w:val="009130C7"/>
    <w:rsid w:val="009147EF"/>
    <w:rsid w:val="009159CB"/>
    <w:rsid w:val="00920E57"/>
    <w:rsid w:val="00924A67"/>
    <w:rsid w:val="00924F1D"/>
    <w:rsid w:val="00927951"/>
    <w:rsid w:val="009316C5"/>
    <w:rsid w:val="00931A85"/>
    <w:rsid w:val="00936E5B"/>
    <w:rsid w:val="009377BE"/>
    <w:rsid w:val="0094207D"/>
    <w:rsid w:val="00943B66"/>
    <w:rsid w:val="00944DAC"/>
    <w:rsid w:val="009454D2"/>
    <w:rsid w:val="0094796F"/>
    <w:rsid w:val="00947E21"/>
    <w:rsid w:val="00947EDA"/>
    <w:rsid w:val="00952DC2"/>
    <w:rsid w:val="00953C3E"/>
    <w:rsid w:val="009549A6"/>
    <w:rsid w:val="0096572A"/>
    <w:rsid w:val="00966DE5"/>
    <w:rsid w:val="00967AF3"/>
    <w:rsid w:val="0097249A"/>
    <w:rsid w:val="00972877"/>
    <w:rsid w:val="009730DA"/>
    <w:rsid w:val="009737BA"/>
    <w:rsid w:val="009752C8"/>
    <w:rsid w:val="009878F3"/>
    <w:rsid w:val="0099159E"/>
    <w:rsid w:val="009A1252"/>
    <w:rsid w:val="009A21CE"/>
    <w:rsid w:val="009A4281"/>
    <w:rsid w:val="009A48E3"/>
    <w:rsid w:val="009A4E48"/>
    <w:rsid w:val="009B2A61"/>
    <w:rsid w:val="009B2B60"/>
    <w:rsid w:val="009B4455"/>
    <w:rsid w:val="009B4B65"/>
    <w:rsid w:val="009B4D2B"/>
    <w:rsid w:val="009B5DE0"/>
    <w:rsid w:val="009B6DB5"/>
    <w:rsid w:val="009C0121"/>
    <w:rsid w:val="009C1122"/>
    <w:rsid w:val="009C376F"/>
    <w:rsid w:val="009C3813"/>
    <w:rsid w:val="009C3D53"/>
    <w:rsid w:val="009C58A9"/>
    <w:rsid w:val="009C6950"/>
    <w:rsid w:val="009C7284"/>
    <w:rsid w:val="009C72F5"/>
    <w:rsid w:val="009C7A52"/>
    <w:rsid w:val="009D0823"/>
    <w:rsid w:val="009D3BE7"/>
    <w:rsid w:val="009E0F08"/>
    <w:rsid w:val="009E1932"/>
    <w:rsid w:val="009E1A65"/>
    <w:rsid w:val="009E2D09"/>
    <w:rsid w:val="009E3E16"/>
    <w:rsid w:val="009E4061"/>
    <w:rsid w:val="009E4477"/>
    <w:rsid w:val="009E6578"/>
    <w:rsid w:val="009E787F"/>
    <w:rsid w:val="009F29AC"/>
    <w:rsid w:val="009F2E89"/>
    <w:rsid w:val="009F494E"/>
    <w:rsid w:val="009F58F9"/>
    <w:rsid w:val="009F6CC7"/>
    <w:rsid w:val="009F7347"/>
    <w:rsid w:val="00A016DA"/>
    <w:rsid w:val="00A025E7"/>
    <w:rsid w:val="00A03A12"/>
    <w:rsid w:val="00A04D43"/>
    <w:rsid w:val="00A06898"/>
    <w:rsid w:val="00A10412"/>
    <w:rsid w:val="00A1122D"/>
    <w:rsid w:val="00A13E0A"/>
    <w:rsid w:val="00A14233"/>
    <w:rsid w:val="00A1730C"/>
    <w:rsid w:val="00A17354"/>
    <w:rsid w:val="00A179F3"/>
    <w:rsid w:val="00A20AA0"/>
    <w:rsid w:val="00A21AA3"/>
    <w:rsid w:val="00A220F4"/>
    <w:rsid w:val="00A2341B"/>
    <w:rsid w:val="00A234A4"/>
    <w:rsid w:val="00A24021"/>
    <w:rsid w:val="00A24AD0"/>
    <w:rsid w:val="00A26122"/>
    <w:rsid w:val="00A276C3"/>
    <w:rsid w:val="00A27844"/>
    <w:rsid w:val="00A27FDE"/>
    <w:rsid w:val="00A305BB"/>
    <w:rsid w:val="00A310AA"/>
    <w:rsid w:val="00A319A1"/>
    <w:rsid w:val="00A31D97"/>
    <w:rsid w:val="00A321FA"/>
    <w:rsid w:val="00A343DF"/>
    <w:rsid w:val="00A3517D"/>
    <w:rsid w:val="00A3561D"/>
    <w:rsid w:val="00A35CC2"/>
    <w:rsid w:val="00A360E1"/>
    <w:rsid w:val="00A36A93"/>
    <w:rsid w:val="00A41156"/>
    <w:rsid w:val="00A45414"/>
    <w:rsid w:val="00A4583C"/>
    <w:rsid w:val="00A51043"/>
    <w:rsid w:val="00A51CB2"/>
    <w:rsid w:val="00A5242C"/>
    <w:rsid w:val="00A546A9"/>
    <w:rsid w:val="00A54C3F"/>
    <w:rsid w:val="00A5670C"/>
    <w:rsid w:val="00A5751D"/>
    <w:rsid w:val="00A60101"/>
    <w:rsid w:val="00A60AA3"/>
    <w:rsid w:val="00A618E9"/>
    <w:rsid w:val="00A62621"/>
    <w:rsid w:val="00A63C45"/>
    <w:rsid w:val="00A63F9D"/>
    <w:rsid w:val="00A65431"/>
    <w:rsid w:val="00A657E1"/>
    <w:rsid w:val="00A7196D"/>
    <w:rsid w:val="00A746F6"/>
    <w:rsid w:val="00A75B44"/>
    <w:rsid w:val="00A77777"/>
    <w:rsid w:val="00A82507"/>
    <w:rsid w:val="00A846EC"/>
    <w:rsid w:val="00A85156"/>
    <w:rsid w:val="00A8537E"/>
    <w:rsid w:val="00A86EFE"/>
    <w:rsid w:val="00A873CA"/>
    <w:rsid w:val="00A915E0"/>
    <w:rsid w:val="00A92E00"/>
    <w:rsid w:val="00A95656"/>
    <w:rsid w:val="00AA170F"/>
    <w:rsid w:val="00AA2038"/>
    <w:rsid w:val="00AA2AD4"/>
    <w:rsid w:val="00AA2B08"/>
    <w:rsid w:val="00AA4FFC"/>
    <w:rsid w:val="00AA5463"/>
    <w:rsid w:val="00AA553A"/>
    <w:rsid w:val="00AA6950"/>
    <w:rsid w:val="00AA6B98"/>
    <w:rsid w:val="00AB056D"/>
    <w:rsid w:val="00AB19C7"/>
    <w:rsid w:val="00AB39D3"/>
    <w:rsid w:val="00AB4B78"/>
    <w:rsid w:val="00AC0B65"/>
    <w:rsid w:val="00AC0D47"/>
    <w:rsid w:val="00AC22F2"/>
    <w:rsid w:val="00AC3126"/>
    <w:rsid w:val="00AC31E0"/>
    <w:rsid w:val="00AC356A"/>
    <w:rsid w:val="00AC507B"/>
    <w:rsid w:val="00AC569F"/>
    <w:rsid w:val="00AC5D72"/>
    <w:rsid w:val="00AD04E9"/>
    <w:rsid w:val="00AD591C"/>
    <w:rsid w:val="00AD66BD"/>
    <w:rsid w:val="00AD6DD1"/>
    <w:rsid w:val="00AE01AB"/>
    <w:rsid w:val="00AE092F"/>
    <w:rsid w:val="00AE0957"/>
    <w:rsid w:val="00AE1717"/>
    <w:rsid w:val="00AE25EF"/>
    <w:rsid w:val="00AE2B2A"/>
    <w:rsid w:val="00AE412C"/>
    <w:rsid w:val="00AE483C"/>
    <w:rsid w:val="00AE5626"/>
    <w:rsid w:val="00AE5C68"/>
    <w:rsid w:val="00AE63A0"/>
    <w:rsid w:val="00AE63F5"/>
    <w:rsid w:val="00AE7AE5"/>
    <w:rsid w:val="00AE7DFA"/>
    <w:rsid w:val="00AF7743"/>
    <w:rsid w:val="00B00893"/>
    <w:rsid w:val="00B02208"/>
    <w:rsid w:val="00B03015"/>
    <w:rsid w:val="00B0412B"/>
    <w:rsid w:val="00B055B3"/>
    <w:rsid w:val="00B06C8D"/>
    <w:rsid w:val="00B07850"/>
    <w:rsid w:val="00B10CA4"/>
    <w:rsid w:val="00B11A9C"/>
    <w:rsid w:val="00B20752"/>
    <w:rsid w:val="00B21EB0"/>
    <w:rsid w:val="00B25A1A"/>
    <w:rsid w:val="00B2685E"/>
    <w:rsid w:val="00B27C64"/>
    <w:rsid w:val="00B312F3"/>
    <w:rsid w:val="00B32A56"/>
    <w:rsid w:val="00B355AC"/>
    <w:rsid w:val="00B355FF"/>
    <w:rsid w:val="00B35790"/>
    <w:rsid w:val="00B37516"/>
    <w:rsid w:val="00B41F7F"/>
    <w:rsid w:val="00B42A7C"/>
    <w:rsid w:val="00B436B8"/>
    <w:rsid w:val="00B51A42"/>
    <w:rsid w:val="00B6199E"/>
    <w:rsid w:val="00B622C6"/>
    <w:rsid w:val="00B6401C"/>
    <w:rsid w:val="00B646FB"/>
    <w:rsid w:val="00B67770"/>
    <w:rsid w:val="00B74468"/>
    <w:rsid w:val="00B74A44"/>
    <w:rsid w:val="00B75894"/>
    <w:rsid w:val="00B7681A"/>
    <w:rsid w:val="00B80FF8"/>
    <w:rsid w:val="00B839CA"/>
    <w:rsid w:val="00B855C6"/>
    <w:rsid w:val="00B85765"/>
    <w:rsid w:val="00B85D0B"/>
    <w:rsid w:val="00B9136C"/>
    <w:rsid w:val="00B91D2B"/>
    <w:rsid w:val="00B9590D"/>
    <w:rsid w:val="00B95D99"/>
    <w:rsid w:val="00BA0360"/>
    <w:rsid w:val="00BA6AB6"/>
    <w:rsid w:val="00BA6AC9"/>
    <w:rsid w:val="00BA6F01"/>
    <w:rsid w:val="00BB0440"/>
    <w:rsid w:val="00BB08A6"/>
    <w:rsid w:val="00BB14D8"/>
    <w:rsid w:val="00BB2398"/>
    <w:rsid w:val="00BB25AF"/>
    <w:rsid w:val="00BB44F9"/>
    <w:rsid w:val="00BB4784"/>
    <w:rsid w:val="00BC0735"/>
    <w:rsid w:val="00BC07EE"/>
    <w:rsid w:val="00BC1977"/>
    <w:rsid w:val="00BC1D03"/>
    <w:rsid w:val="00BC4396"/>
    <w:rsid w:val="00BC6125"/>
    <w:rsid w:val="00BC62F2"/>
    <w:rsid w:val="00BC7CA4"/>
    <w:rsid w:val="00BD33FB"/>
    <w:rsid w:val="00BD3DD3"/>
    <w:rsid w:val="00BD4C44"/>
    <w:rsid w:val="00BD60B6"/>
    <w:rsid w:val="00BE05B5"/>
    <w:rsid w:val="00BE289B"/>
    <w:rsid w:val="00BE3354"/>
    <w:rsid w:val="00BE40B1"/>
    <w:rsid w:val="00BE6B7E"/>
    <w:rsid w:val="00BE6D89"/>
    <w:rsid w:val="00BF052E"/>
    <w:rsid w:val="00BF2BED"/>
    <w:rsid w:val="00BF4576"/>
    <w:rsid w:val="00C01710"/>
    <w:rsid w:val="00C024FD"/>
    <w:rsid w:val="00C03D66"/>
    <w:rsid w:val="00C045AE"/>
    <w:rsid w:val="00C0787C"/>
    <w:rsid w:val="00C10205"/>
    <w:rsid w:val="00C14090"/>
    <w:rsid w:val="00C15F94"/>
    <w:rsid w:val="00C16EF5"/>
    <w:rsid w:val="00C17C13"/>
    <w:rsid w:val="00C17F34"/>
    <w:rsid w:val="00C20B01"/>
    <w:rsid w:val="00C214A6"/>
    <w:rsid w:val="00C22224"/>
    <w:rsid w:val="00C23741"/>
    <w:rsid w:val="00C250EF"/>
    <w:rsid w:val="00C25FE0"/>
    <w:rsid w:val="00C269E3"/>
    <w:rsid w:val="00C278D0"/>
    <w:rsid w:val="00C33090"/>
    <w:rsid w:val="00C33E4C"/>
    <w:rsid w:val="00C360DE"/>
    <w:rsid w:val="00C40710"/>
    <w:rsid w:val="00C41EB4"/>
    <w:rsid w:val="00C42D81"/>
    <w:rsid w:val="00C47E30"/>
    <w:rsid w:val="00C50B80"/>
    <w:rsid w:val="00C556D5"/>
    <w:rsid w:val="00C56632"/>
    <w:rsid w:val="00C568D1"/>
    <w:rsid w:val="00C60308"/>
    <w:rsid w:val="00C60F58"/>
    <w:rsid w:val="00C61B4D"/>
    <w:rsid w:val="00C63A9E"/>
    <w:rsid w:val="00C6564A"/>
    <w:rsid w:val="00C67673"/>
    <w:rsid w:val="00C67A4D"/>
    <w:rsid w:val="00C736ED"/>
    <w:rsid w:val="00C74630"/>
    <w:rsid w:val="00C8128D"/>
    <w:rsid w:val="00C81379"/>
    <w:rsid w:val="00C82B97"/>
    <w:rsid w:val="00C82FEF"/>
    <w:rsid w:val="00C83CA1"/>
    <w:rsid w:val="00C852D6"/>
    <w:rsid w:val="00C87E6C"/>
    <w:rsid w:val="00C90443"/>
    <w:rsid w:val="00CA0376"/>
    <w:rsid w:val="00CA113B"/>
    <w:rsid w:val="00CA4A85"/>
    <w:rsid w:val="00CA7A39"/>
    <w:rsid w:val="00CB1485"/>
    <w:rsid w:val="00CB17BA"/>
    <w:rsid w:val="00CB6C4E"/>
    <w:rsid w:val="00CB7A77"/>
    <w:rsid w:val="00CB7F44"/>
    <w:rsid w:val="00CB7FEA"/>
    <w:rsid w:val="00CC0DA9"/>
    <w:rsid w:val="00CC23F8"/>
    <w:rsid w:val="00CC3CD1"/>
    <w:rsid w:val="00CC3EBB"/>
    <w:rsid w:val="00CD0D9E"/>
    <w:rsid w:val="00CD1B8C"/>
    <w:rsid w:val="00CD5050"/>
    <w:rsid w:val="00CD5DCE"/>
    <w:rsid w:val="00CD6114"/>
    <w:rsid w:val="00CE0D45"/>
    <w:rsid w:val="00CE1AF4"/>
    <w:rsid w:val="00CE33C2"/>
    <w:rsid w:val="00CE5A36"/>
    <w:rsid w:val="00CE6AFE"/>
    <w:rsid w:val="00CE6D1E"/>
    <w:rsid w:val="00CF0C6E"/>
    <w:rsid w:val="00CF2E53"/>
    <w:rsid w:val="00CF5B94"/>
    <w:rsid w:val="00CF75DF"/>
    <w:rsid w:val="00D00061"/>
    <w:rsid w:val="00D0078E"/>
    <w:rsid w:val="00D02CCB"/>
    <w:rsid w:val="00D048A6"/>
    <w:rsid w:val="00D05890"/>
    <w:rsid w:val="00D06E22"/>
    <w:rsid w:val="00D10660"/>
    <w:rsid w:val="00D136B9"/>
    <w:rsid w:val="00D148A9"/>
    <w:rsid w:val="00D15B2A"/>
    <w:rsid w:val="00D206A0"/>
    <w:rsid w:val="00D22B24"/>
    <w:rsid w:val="00D23947"/>
    <w:rsid w:val="00D26139"/>
    <w:rsid w:val="00D27023"/>
    <w:rsid w:val="00D306EF"/>
    <w:rsid w:val="00D3219A"/>
    <w:rsid w:val="00D35A0B"/>
    <w:rsid w:val="00D36531"/>
    <w:rsid w:val="00D415AF"/>
    <w:rsid w:val="00D41D05"/>
    <w:rsid w:val="00D4248A"/>
    <w:rsid w:val="00D42878"/>
    <w:rsid w:val="00D442C7"/>
    <w:rsid w:val="00D522CA"/>
    <w:rsid w:val="00D53A64"/>
    <w:rsid w:val="00D56E2A"/>
    <w:rsid w:val="00D57224"/>
    <w:rsid w:val="00D57FEC"/>
    <w:rsid w:val="00D60FA3"/>
    <w:rsid w:val="00D614B8"/>
    <w:rsid w:val="00D6221F"/>
    <w:rsid w:val="00D6534E"/>
    <w:rsid w:val="00D66ADD"/>
    <w:rsid w:val="00D67EC8"/>
    <w:rsid w:val="00D71802"/>
    <w:rsid w:val="00D71DE1"/>
    <w:rsid w:val="00D72722"/>
    <w:rsid w:val="00D773A0"/>
    <w:rsid w:val="00D77F9D"/>
    <w:rsid w:val="00D80120"/>
    <w:rsid w:val="00D83D92"/>
    <w:rsid w:val="00D8579E"/>
    <w:rsid w:val="00D865DC"/>
    <w:rsid w:val="00D8688C"/>
    <w:rsid w:val="00D86D32"/>
    <w:rsid w:val="00D90E87"/>
    <w:rsid w:val="00D90F74"/>
    <w:rsid w:val="00D9109E"/>
    <w:rsid w:val="00D976B9"/>
    <w:rsid w:val="00D97A42"/>
    <w:rsid w:val="00D97D02"/>
    <w:rsid w:val="00DA0F1A"/>
    <w:rsid w:val="00DA46EC"/>
    <w:rsid w:val="00DA47AF"/>
    <w:rsid w:val="00DA6DE5"/>
    <w:rsid w:val="00DA76E7"/>
    <w:rsid w:val="00DA770C"/>
    <w:rsid w:val="00DB20A4"/>
    <w:rsid w:val="00DB41BF"/>
    <w:rsid w:val="00DB544B"/>
    <w:rsid w:val="00DB75F0"/>
    <w:rsid w:val="00DC0B51"/>
    <w:rsid w:val="00DC11D7"/>
    <w:rsid w:val="00DC5589"/>
    <w:rsid w:val="00DC5927"/>
    <w:rsid w:val="00DC5D7C"/>
    <w:rsid w:val="00DD06E8"/>
    <w:rsid w:val="00DD4005"/>
    <w:rsid w:val="00DD5E23"/>
    <w:rsid w:val="00DD6ADA"/>
    <w:rsid w:val="00DD7FF5"/>
    <w:rsid w:val="00DE26C4"/>
    <w:rsid w:val="00DE2F43"/>
    <w:rsid w:val="00DE3E55"/>
    <w:rsid w:val="00DE47B0"/>
    <w:rsid w:val="00DF06DA"/>
    <w:rsid w:val="00DF36FD"/>
    <w:rsid w:val="00E00E74"/>
    <w:rsid w:val="00E00F47"/>
    <w:rsid w:val="00E0155B"/>
    <w:rsid w:val="00E025AC"/>
    <w:rsid w:val="00E03519"/>
    <w:rsid w:val="00E03B2D"/>
    <w:rsid w:val="00E04A63"/>
    <w:rsid w:val="00E0741B"/>
    <w:rsid w:val="00E10F26"/>
    <w:rsid w:val="00E13374"/>
    <w:rsid w:val="00E15942"/>
    <w:rsid w:val="00E213C1"/>
    <w:rsid w:val="00E21869"/>
    <w:rsid w:val="00E24E27"/>
    <w:rsid w:val="00E250F8"/>
    <w:rsid w:val="00E26BCD"/>
    <w:rsid w:val="00E27C61"/>
    <w:rsid w:val="00E323D2"/>
    <w:rsid w:val="00E32A8A"/>
    <w:rsid w:val="00E33710"/>
    <w:rsid w:val="00E375C1"/>
    <w:rsid w:val="00E40CFB"/>
    <w:rsid w:val="00E5401D"/>
    <w:rsid w:val="00E5519E"/>
    <w:rsid w:val="00E6011A"/>
    <w:rsid w:val="00E601BE"/>
    <w:rsid w:val="00E64CE3"/>
    <w:rsid w:val="00E64F1D"/>
    <w:rsid w:val="00E66DB8"/>
    <w:rsid w:val="00E674B8"/>
    <w:rsid w:val="00E712B6"/>
    <w:rsid w:val="00E72BAE"/>
    <w:rsid w:val="00E74007"/>
    <w:rsid w:val="00E74A45"/>
    <w:rsid w:val="00E74FEA"/>
    <w:rsid w:val="00E76A7E"/>
    <w:rsid w:val="00E7716C"/>
    <w:rsid w:val="00E771FA"/>
    <w:rsid w:val="00E77F14"/>
    <w:rsid w:val="00E87ADB"/>
    <w:rsid w:val="00E90334"/>
    <w:rsid w:val="00E926FD"/>
    <w:rsid w:val="00E92A67"/>
    <w:rsid w:val="00E93201"/>
    <w:rsid w:val="00E94BA7"/>
    <w:rsid w:val="00E94E5A"/>
    <w:rsid w:val="00E94EBA"/>
    <w:rsid w:val="00E96FC2"/>
    <w:rsid w:val="00EA153A"/>
    <w:rsid w:val="00EA38B5"/>
    <w:rsid w:val="00EA3CBF"/>
    <w:rsid w:val="00EA50F1"/>
    <w:rsid w:val="00EB0AED"/>
    <w:rsid w:val="00EB3182"/>
    <w:rsid w:val="00EB5A02"/>
    <w:rsid w:val="00EB762F"/>
    <w:rsid w:val="00EC3F02"/>
    <w:rsid w:val="00EC60FD"/>
    <w:rsid w:val="00EC7ACE"/>
    <w:rsid w:val="00EC7B96"/>
    <w:rsid w:val="00EC7C93"/>
    <w:rsid w:val="00ED040D"/>
    <w:rsid w:val="00ED24E0"/>
    <w:rsid w:val="00ED2FB1"/>
    <w:rsid w:val="00EE0014"/>
    <w:rsid w:val="00EE0A2E"/>
    <w:rsid w:val="00EE0BD6"/>
    <w:rsid w:val="00EE4BD0"/>
    <w:rsid w:val="00EE5556"/>
    <w:rsid w:val="00EE5813"/>
    <w:rsid w:val="00EE6D23"/>
    <w:rsid w:val="00EE6E6A"/>
    <w:rsid w:val="00EF0584"/>
    <w:rsid w:val="00EF1501"/>
    <w:rsid w:val="00EF2853"/>
    <w:rsid w:val="00EF2AFE"/>
    <w:rsid w:val="00EF3C79"/>
    <w:rsid w:val="00EF4433"/>
    <w:rsid w:val="00EF6AFD"/>
    <w:rsid w:val="00EF797F"/>
    <w:rsid w:val="00F03165"/>
    <w:rsid w:val="00F03728"/>
    <w:rsid w:val="00F0435A"/>
    <w:rsid w:val="00F04AFC"/>
    <w:rsid w:val="00F06201"/>
    <w:rsid w:val="00F063AB"/>
    <w:rsid w:val="00F1129B"/>
    <w:rsid w:val="00F12767"/>
    <w:rsid w:val="00F14585"/>
    <w:rsid w:val="00F2082F"/>
    <w:rsid w:val="00F25A5B"/>
    <w:rsid w:val="00F263C6"/>
    <w:rsid w:val="00F26E46"/>
    <w:rsid w:val="00F30E95"/>
    <w:rsid w:val="00F35E23"/>
    <w:rsid w:val="00F37CBF"/>
    <w:rsid w:val="00F407B0"/>
    <w:rsid w:val="00F40892"/>
    <w:rsid w:val="00F42579"/>
    <w:rsid w:val="00F43638"/>
    <w:rsid w:val="00F45E9C"/>
    <w:rsid w:val="00F46087"/>
    <w:rsid w:val="00F46D85"/>
    <w:rsid w:val="00F527EB"/>
    <w:rsid w:val="00F52AF2"/>
    <w:rsid w:val="00F54108"/>
    <w:rsid w:val="00F547B3"/>
    <w:rsid w:val="00F548EB"/>
    <w:rsid w:val="00F55DB5"/>
    <w:rsid w:val="00F56B37"/>
    <w:rsid w:val="00F57885"/>
    <w:rsid w:val="00F60FE7"/>
    <w:rsid w:val="00F63852"/>
    <w:rsid w:val="00F656D6"/>
    <w:rsid w:val="00F660CA"/>
    <w:rsid w:val="00F73220"/>
    <w:rsid w:val="00F735EB"/>
    <w:rsid w:val="00F7768E"/>
    <w:rsid w:val="00F77E44"/>
    <w:rsid w:val="00F80BE4"/>
    <w:rsid w:val="00F80CAF"/>
    <w:rsid w:val="00F82F6F"/>
    <w:rsid w:val="00F83E88"/>
    <w:rsid w:val="00F8674F"/>
    <w:rsid w:val="00F91A48"/>
    <w:rsid w:val="00F93AFC"/>
    <w:rsid w:val="00F95B7F"/>
    <w:rsid w:val="00F976E6"/>
    <w:rsid w:val="00FA2066"/>
    <w:rsid w:val="00FA36B7"/>
    <w:rsid w:val="00FA429B"/>
    <w:rsid w:val="00FA48B9"/>
    <w:rsid w:val="00FA4D44"/>
    <w:rsid w:val="00FA54BA"/>
    <w:rsid w:val="00FA7710"/>
    <w:rsid w:val="00FB04A5"/>
    <w:rsid w:val="00FB1B6E"/>
    <w:rsid w:val="00FB25AB"/>
    <w:rsid w:val="00FB3903"/>
    <w:rsid w:val="00FB7D14"/>
    <w:rsid w:val="00FC2097"/>
    <w:rsid w:val="00FC3B1C"/>
    <w:rsid w:val="00FD0D31"/>
    <w:rsid w:val="00FD1058"/>
    <w:rsid w:val="00FD4C65"/>
    <w:rsid w:val="00FD5BA4"/>
    <w:rsid w:val="00FE0355"/>
    <w:rsid w:val="00FE445A"/>
    <w:rsid w:val="00FE51DC"/>
    <w:rsid w:val="00FE5785"/>
    <w:rsid w:val="00FE5E14"/>
    <w:rsid w:val="00FF1ABC"/>
    <w:rsid w:val="00FF1B75"/>
    <w:rsid w:val="00FF1E35"/>
    <w:rsid w:val="00FF27E7"/>
    <w:rsid w:val="00FF30FE"/>
    <w:rsid w:val="00FF3888"/>
    <w:rsid w:val="00FF4817"/>
    <w:rsid w:val="00FF5E97"/>
    <w:rsid w:val="01602D9C"/>
    <w:rsid w:val="0ECC1DC8"/>
    <w:rsid w:val="1A081FAD"/>
    <w:rsid w:val="2AC14E2C"/>
    <w:rsid w:val="3C41085E"/>
    <w:rsid w:val="3C9913EB"/>
    <w:rsid w:val="475C4721"/>
    <w:rsid w:val="477E0663"/>
    <w:rsid w:val="57C64D27"/>
    <w:rsid w:val="59865DFD"/>
    <w:rsid w:val="604551AA"/>
    <w:rsid w:val="668017AF"/>
    <w:rsid w:val="6BFE1C07"/>
    <w:rsid w:val="7EE12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tabs>
        <w:tab w:val="left" w:pos="993"/>
      </w:tabs>
      <w:spacing w:line="276" w:lineRule="auto"/>
      <w:jc w:val="center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link w:val="27"/>
    <w:qFormat/>
    <w:uiPriority w:val="99"/>
    <w:pPr>
      <w:widowControl w:val="0"/>
      <w:adjustRightInd w:val="0"/>
      <w:spacing w:line="360" w:lineRule="atLeast"/>
      <w:ind w:firstLine="709"/>
      <w:jc w:val="both"/>
      <w:textAlignment w:val="baseline"/>
    </w:pPr>
  </w:style>
  <w:style w:type="paragraph" w:styleId="4">
    <w:name w:val="header"/>
    <w:basedOn w:val="1"/>
    <w:link w:val="36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 Indent"/>
    <w:basedOn w:val="1"/>
    <w:link w:val="35"/>
    <w:uiPriority w:val="99"/>
    <w:pPr>
      <w:spacing w:after="120"/>
      <w:ind w:left="283" w:firstLine="709"/>
      <w:jc w:val="both"/>
    </w:pPr>
  </w:style>
  <w:style w:type="paragraph" w:styleId="6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character" w:styleId="8">
    <w:name w:val="footnote reference"/>
    <w:semiHidden/>
    <w:qFormat/>
    <w:uiPriority w:val="99"/>
    <w:rPr>
      <w:rFonts w:cs="Times New Roman"/>
      <w:vertAlign w:val="superscript"/>
    </w:rPr>
  </w:style>
  <w:style w:type="character" w:styleId="9">
    <w:name w:val="Emphasis"/>
    <w:qFormat/>
    <w:uiPriority w:val="99"/>
    <w:rPr>
      <w:rFonts w:cs="Times New Roman"/>
      <w:i/>
      <w:i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styleId="11">
    <w:name w:val="page number"/>
    <w:uiPriority w:val="99"/>
    <w:rPr>
      <w:rFonts w:cs="Times New Roman"/>
    </w:rPr>
  </w:style>
  <w:style w:type="table" w:styleId="13">
    <w:name w:val="Table Grid"/>
    <w:basedOn w:val="12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link w:val="2"/>
    <w:qFormat/>
    <w:locked/>
    <w:uiPriority w:val="99"/>
    <w:rPr>
      <w:rFonts w:eastAsia="Times New Roman" w:cs="Times New Roman"/>
      <w:b/>
      <w:bCs/>
      <w:sz w:val="28"/>
      <w:szCs w:val="28"/>
      <w:lang w:val="ru-RU" w:eastAsia="ru-RU"/>
    </w:rPr>
  </w:style>
  <w:style w:type="paragraph" w:styleId="15">
    <w:name w:val="List Paragraph"/>
    <w:basedOn w:val="1"/>
    <w:qFormat/>
    <w:uiPriority w:val="99"/>
    <w:pPr>
      <w:ind w:left="720"/>
    </w:pPr>
  </w:style>
  <w:style w:type="paragraph" w:customStyle="1" w:styleId="16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7">
    <w:name w:val="Знак Знак1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ConsPlusNormal"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eastAsia="Times New Roman" w:cs="Arial"/>
      <w:lang w:val="ru-RU" w:eastAsia="ru-RU" w:bidi="ar-SA"/>
    </w:rPr>
  </w:style>
  <w:style w:type="paragraph" w:customStyle="1" w:styleId="19">
    <w:name w:val="Style16"/>
    <w:basedOn w:val="1"/>
    <w:qFormat/>
    <w:uiPriority w:val="99"/>
    <w:pPr>
      <w:widowControl w:val="0"/>
      <w:autoSpaceDE w:val="0"/>
      <w:autoSpaceDN w:val="0"/>
      <w:adjustRightInd w:val="0"/>
      <w:spacing w:line="360" w:lineRule="atLeast"/>
      <w:ind w:firstLine="709"/>
      <w:jc w:val="both"/>
      <w:textAlignment w:val="baseline"/>
    </w:pPr>
    <w:rPr>
      <w:sz w:val="24"/>
      <w:szCs w:val="24"/>
    </w:rPr>
  </w:style>
  <w:style w:type="paragraph" w:customStyle="1" w:styleId="2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21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Гипертекстовая ссылка"/>
    <w:qFormat/>
    <w:uiPriority w:val="99"/>
    <w:rPr>
      <w:color w:val="auto"/>
    </w:rPr>
  </w:style>
  <w:style w:type="paragraph" w:customStyle="1" w:styleId="23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24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25">
    <w:name w:val="apple-converted-space"/>
    <w:qFormat/>
    <w:uiPriority w:val="99"/>
    <w:rPr>
      <w:rFonts w:cs="Times New Roman"/>
    </w:rPr>
  </w:style>
  <w:style w:type="paragraph" w:customStyle="1" w:styleId="26">
    <w:name w:val="Стиль1"/>
    <w:basedOn w:val="1"/>
    <w:qFormat/>
    <w:uiPriority w:val="99"/>
    <w:pPr>
      <w:numPr>
        <w:ilvl w:val="0"/>
        <w:numId w:val="1"/>
      </w:numPr>
      <w:spacing w:line="360" w:lineRule="auto"/>
      <w:jc w:val="both"/>
    </w:pPr>
    <w:rPr>
      <w:color w:val="000000"/>
      <w:sz w:val="26"/>
      <w:szCs w:val="26"/>
    </w:rPr>
  </w:style>
  <w:style w:type="character" w:customStyle="1" w:styleId="27">
    <w:name w:val="Текст сноски Знак"/>
    <w:link w:val="3"/>
    <w:qFormat/>
    <w:locked/>
    <w:uiPriority w:val="99"/>
    <w:rPr>
      <w:rFonts w:cs="Times New Roman"/>
      <w:lang w:val="ru-RU" w:eastAsia="ru-RU"/>
    </w:rPr>
  </w:style>
  <w:style w:type="paragraph" w:styleId="28">
    <w:name w:val="No Spacing"/>
    <w:qFormat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29">
    <w:name w:val="Нижний колонтитул Знак"/>
    <w:link w:val="6"/>
    <w:semiHidden/>
    <w:qFormat/>
    <w:locked/>
    <w:uiPriority w:val="99"/>
    <w:rPr>
      <w:rFonts w:cs="Times New Roman"/>
      <w:sz w:val="20"/>
      <w:szCs w:val="20"/>
    </w:rPr>
  </w:style>
  <w:style w:type="character" w:customStyle="1" w:styleId="30">
    <w:name w:val="Знак Знак9"/>
    <w:qFormat/>
    <w:locked/>
    <w:uiPriority w:val="99"/>
    <w:rPr>
      <w:rFonts w:ascii="Times New Roman" w:hAnsi="Times New Roman"/>
      <w:b/>
      <w:sz w:val="28"/>
      <w:lang w:eastAsia="ru-RU"/>
    </w:rPr>
  </w:style>
  <w:style w:type="paragraph" w:customStyle="1" w:styleId="31">
    <w:name w:val="Знак Знак6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Знак Знак6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34">
    <w:name w:val="Знак Знак1 Знак Знак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5">
    <w:name w:val="Основной текст с отступом Знак"/>
    <w:link w:val="5"/>
    <w:semiHidden/>
    <w:locked/>
    <w:uiPriority w:val="99"/>
    <w:rPr>
      <w:rFonts w:cs="Times New Roman"/>
      <w:sz w:val="20"/>
      <w:szCs w:val="20"/>
    </w:rPr>
  </w:style>
  <w:style w:type="character" w:customStyle="1" w:styleId="36">
    <w:name w:val="Верхний колонтитул Знак"/>
    <w:link w:val="4"/>
    <w:semiHidden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352DC-9E9B-4FE1-B78B-0923248A6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MSU</Company>
  <Pages>50</Pages>
  <Words>11558</Words>
  <Characters>65885</Characters>
  <Lines>549</Lines>
  <Paragraphs>154</Paragraphs>
  <TotalTime>198</TotalTime>
  <ScaleCrop>false</ScaleCrop>
  <LinksUpToDate>false</LinksUpToDate>
  <CharactersWithSpaces>77289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2020-03-03T10:35:00Z</dcterms:created>
  <dc:creator>MVP</dc:creator>
  <cp:lastModifiedBy>Елена</cp:lastModifiedBy>
  <cp:lastPrinted>2020-01-31T06:58:00Z</cp:lastPrinted>
  <dcterms:modified xsi:type="dcterms:W3CDTF">2020-03-12T10:28:38Z</dcterms:modified>
  <dc:title>Раздел 2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