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E433" w14:textId="756D7EBA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14:paraId="57B9B079" w14:textId="77777777" w:rsidR="00F4097D" w:rsidRPr="007D3FD0" w:rsidRDefault="00F4097D" w:rsidP="007D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4FA64BBF" w:rsidR="005379FA" w:rsidRPr="007D3FD0" w:rsidRDefault="009B5E0D" w:rsidP="007D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5B30B4" w:rsidRPr="007D3F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</w:t>
      </w:r>
      <w:r w:rsidR="001F50D3" w:rsidRPr="007D3FD0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7D3F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5B30B4" w:rsidRPr="007D3FD0">
        <w:rPr>
          <w:rFonts w:ascii="Times New Roman" w:hAnsi="Times New Roman" w:cs="Times New Roman"/>
          <w:b/>
          <w:sz w:val="24"/>
          <w:szCs w:val="24"/>
          <w:lang w:val="ru-RU"/>
        </w:rPr>
        <w:t>ноябрь</w:t>
      </w:r>
      <w:r w:rsidR="00366500" w:rsidRPr="007D3FD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5B30B4" w:rsidRPr="007D3FD0">
        <w:rPr>
          <w:rFonts w:ascii="Times New Roman" w:hAnsi="Times New Roman" w:cs="Times New Roman"/>
          <w:b/>
          <w:sz w:val="24"/>
          <w:szCs w:val="24"/>
          <w:lang w:val="ru-RU"/>
        </w:rPr>
        <w:t>дека</w:t>
      </w:r>
      <w:r w:rsidR="00CA22F0" w:rsidRPr="007D3FD0">
        <w:rPr>
          <w:rFonts w:ascii="Times New Roman" w:hAnsi="Times New Roman" w:cs="Times New Roman"/>
          <w:b/>
          <w:sz w:val="24"/>
          <w:szCs w:val="24"/>
          <w:lang w:val="ru-RU"/>
        </w:rPr>
        <w:t>брь</w:t>
      </w:r>
    </w:p>
    <w:p w14:paraId="76E70DAE" w14:textId="1904CF1D" w:rsidR="001F50D3" w:rsidRPr="007D3FD0" w:rsidRDefault="001F50D3" w:rsidP="007D3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B4B303" w14:textId="77777777" w:rsidR="00202AE1" w:rsidRPr="007D3FD0" w:rsidRDefault="00202AE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История государства и права</w:t>
      </w:r>
    </w:p>
    <w:p w14:paraId="6E5D72CF" w14:textId="481D4667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34BCBB9D" w14:textId="688BE27D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Т.Е. Новицкая,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доктор юридических наук, профессор кафедры истории государства и права юридического факультета МГУ</w:t>
      </w:r>
      <w:r w:rsidRPr="007D3FD0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  <w:r w:rsidRPr="007D3FD0">
        <w:rPr>
          <w:rFonts w:ascii="Cambria Math" w:eastAsia="Newton-Regular" w:hAnsi="Cambria Math" w:cs="Cambria Math"/>
          <w:color w:val="FFFFFF"/>
          <w:sz w:val="24"/>
          <w:szCs w:val="24"/>
          <w:lang w:val="ru-RU"/>
        </w:rPr>
        <w:t>∗</w:t>
      </w:r>
    </w:p>
    <w:p w14:paraId="26FED487" w14:textId="77777777" w:rsidR="009028BD" w:rsidRPr="007D3FD0" w:rsidRDefault="009028BD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0EDCD4" w14:textId="5096FF02" w:rsidR="00591DC2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Из истории административно-правовых режимов государственной безопасности в России (</w:t>
      </w:r>
      <w:r w:rsidRPr="007D3FD0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статья</w:t>
      </w:r>
      <w:r w:rsidR="00591DC2"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591DC2"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>вторая</w:t>
      </w:r>
      <w:proofErr w:type="spellEnd"/>
      <w:r w:rsidR="00591DC2"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)</w:t>
      </w:r>
    </w:p>
    <w:p w14:paraId="419F7417" w14:textId="77777777" w:rsid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36A4B5B" w14:textId="1EE13AF4" w:rsidR="00591DC2" w:rsidRPr="007D3FD0" w:rsidRDefault="00591DC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статье предпринимается попытка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рассмотреть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способы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защиты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государства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внутренних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внешних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угроз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помощи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одного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установленных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законом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способов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административно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-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режимов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работе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показано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правовое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оформление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режимов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государственной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безопасности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происходило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периоды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когда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царское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правительство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боролось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принимавшим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угрожающие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размеры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терроризмом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последней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четверти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XIX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в.,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революции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1905–1907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гг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Представлено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развитие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законодательства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административно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-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режимах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государственной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безопасности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Советской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России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условиях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гражданской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войны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крестьянского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восстания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Тамбовской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губернии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22EAC4B2" w14:textId="77777777" w:rsid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AFB9FCB" w14:textId="1D355AD8" w:rsidR="00591DC2" w:rsidRPr="007D3FD0" w:rsidRDefault="00591DC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режимы усиленной и чрезвычайной охраны, военное положение, оккупационный режим.</w:t>
      </w:r>
    </w:p>
    <w:p w14:paraId="48AB2566" w14:textId="77777777" w:rsidR="009028BD" w:rsidRPr="007D3FD0" w:rsidRDefault="009028BD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F38ED5A" w14:textId="32AA8B7D" w:rsidR="00591DC2" w:rsidRPr="007D3FD0" w:rsidRDefault="00591DC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attempts to consider ways to protect the state from internal and external</w:t>
      </w:r>
      <w:r w:rsidR="007D3FD0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threats using one of the methods established by law: administrative regimes of state</w:t>
      </w:r>
      <w:r w:rsidR="007D3FD0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security. The paper shows that the legal formalization of state security regimes during</w:t>
      </w:r>
      <w:r w:rsidR="007D3FD0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periods when the tsarist government was struggling with terrorism that was taking on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threatening in the last quarter of the XIX century and the revolution of 1905–1907. The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article presents the development of legislation on state security regimes in Soviet Russia in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context of the civil war and the peasant uprising in the Tambov province.</w:t>
      </w:r>
    </w:p>
    <w:p w14:paraId="0911857F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08C21D32" w14:textId="53B60603" w:rsidR="00591DC2" w:rsidRPr="007D3FD0" w:rsidRDefault="00591DC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strengthened protection and emergency security, martial law, occupation regime.</w:t>
      </w:r>
    </w:p>
    <w:p w14:paraId="599018F1" w14:textId="77777777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0FA0A2E7" w14:textId="3D113E4E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П.Л. Полянский,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доктор юридических наук, профессор кафедры истории государства и права юридического факультета МГУ</w:t>
      </w:r>
    </w:p>
    <w:p w14:paraId="265E9A92" w14:textId="77777777" w:rsidR="009028BD" w:rsidRPr="007D3FD0" w:rsidRDefault="009028BD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8FFE19" w14:textId="76AA1A52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Обследование Рабкрином</w:t>
      </w:r>
      <w:r w:rsidR="009028BD"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судебно-следственной системы</w:t>
      </w:r>
      <w:r w:rsidR="009028BD"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591DC2"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изменения процессуального</w:t>
      </w:r>
      <w:r w:rsidR="009864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91DC2"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законодательства конца нэпа</w:t>
      </w:r>
    </w:p>
    <w:p w14:paraId="5CBEC912" w14:textId="037F308C" w:rsidR="00591DC2" w:rsidRPr="007D3FD0" w:rsidRDefault="00591DC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Статья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посвящена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предложениям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Рабкрина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изменению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норм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гражданского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уголовного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процесса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оборот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вводятся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новые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материалы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которые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касаются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обоснования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содержания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инициатив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Рабкрина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а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также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реализации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делает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большой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пользе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проведенного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Рабкрином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обследования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для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исправления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существенных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недостатков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досудебной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подготовки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рассмотрения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судах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различных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инстанций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Затронут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вопрос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позиции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роли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Наркомата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юстиции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РСФСР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реформирования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процессуального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законодательства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2300F556" w14:textId="77777777" w:rsidR="009028BD" w:rsidRPr="007D3FD0" w:rsidRDefault="009028BD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B6A08EF" w14:textId="05D9CBA5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Россия, нэп, Рабкрин,</w:t>
      </w:r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>гражданский</w:t>
      </w:r>
      <w:proofErr w:type="spellEnd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>процесс</w:t>
      </w:r>
      <w:proofErr w:type="spellEnd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>уголовный</w:t>
      </w:r>
      <w:proofErr w:type="spellEnd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>процесс</w:t>
      </w:r>
      <w:proofErr w:type="spellEnd"/>
      <w:r w:rsidRPr="00986415">
        <w:rPr>
          <w:rFonts w:ascii="Times New Roman" w:eastAsia="Newton-Italic" w:hAnsi="Times New Roman" w:cs="Times New Roman"/>
          <w:sz w:val="24"/>
          <w:szCs w:val="24"/>
          <w:lang w:val="ru-RU"/>
        </w:rPr>
        <w:t>.</w:t>
      </w:r>
    </w:p>
    <w:p w14:paraId="5B661A7E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CCB6CD9" w14:textId="36F35883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This article devoted to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Rabkrin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’s (Workers’ and Peasants’ Inspection) proposals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to change the norms of the Soviet civil and criminal procedure in the end of 1920th. New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materials are introduced that relate to the content of the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Rabkrin's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initiatives, as well as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their implementation. The author concludes that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Rabkrin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’s inspection is very useful for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correcting shortcomings of soviet pre-trial and trial proceeding. The issue about the role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of People’s Commissariat of Justice of the RSFSR in reforming procedural legislation is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considered.</w:t>
      </w:r>
    </w:p>
    <w:p w14:paraId="3E0E8ACE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2BEC474" w14:textId="30977920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 xml:space="preserve">Russia, NEP, </w:t>
      </w:r>
      <w:proofErr w:type="spellStart"/>
      <w:r w:rsidRPr="007D3FD0">
        <w:rPr>
          <w:rFonts w:ascii="Times New Roman" w:eastAsia="Newton-Regular" w:hAnsi="Times New Roman" w:cs="Times New Roman"/>
          <w:sz w:val="24"/>
          <w:szCs w:val="24"/>
        </w:rPr>
        <w:t>Rabkrin</w:t>
      </w:r>
      <w:proofErr w:type="spellEnd"/>
      <w:r w:rsidRPr="007D3FD0">
        <w:rPr>
          <w:rFonts w:ascii="Times New Roman" w:eastAsia="Newton-Regular" w:hAnsi="Times New Roman" w:cs="Times New Roman"/>
          <w:sz w:val="24"/>
          <w:szCs w:val="24"/>
        </w:rPr>
        <w:t xml:space="preserve"> (Workers’ and Peasants’ Inspection), civil procedure, criminal procedure.</w:t>
      </w:r>
    </w:p>
    <w:p w14:paraId="2D164A22" w14:textId="4B52B696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B4F9C7D" w14:textId="77777777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Проблемы</w:t>
      </w:r>
      <w:proofErr w:type="spellEnd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административного</w:t>
      </w:r>
      <w:proofErr w:type="spellEnd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права</w:t>
      </w:r>
      <w:proofErr w:type="spellEnd"/>
    </w:p>
    <w:p w14:paraId="61A23C28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F18442" w14:textId="737676BA" w:rsidR="006C0DCB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В.А. Северин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, доктор юридических наук,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профессор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кафедры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коммерческого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права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основ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правоведения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факультета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МГУ</w:t>
      </w:r>
    </w:p>
    <w:p w14:paraId="30A2EDA9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23BDEB" w14:textId="22B5B9BB" w:rsidR="009028BD" w:rsidRPr="007D3FD0" w:rsidRDefault="006C0DCB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Роль и место правового института служебной</w:t>
      </w:r>
      <w:r w:rsidR="00AE1612"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тайны в системе административного права</w:t>
      </w:r>
    </w:p>
    <w:p w14:paraId="3393C789" w14:textId="1A2AA3B0" w:rsidR="00CA22F0" w:rsidRPr="007D3FD0" w:rsidRDefault="00CA22F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4D2A3066" w14:textId="1A9AC277" w:rsidR="009028BD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Совершенствование административного законодательства отражает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происходящие в 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России преобразования в публично-правовой сфере в условиях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информационного общества.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Однако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остаются нерешенными вопросы правового регулирования сбора, создания, использования и предоставления служебной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информации ограниченного доступа.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ходе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демократических реформ и легализации процессов оборота государственно значимой информации основное внимание законодателя было уделено совершенствованию правового режима государственной тайны.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Между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тем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анализ практики деятельности государственных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органов и органов местного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самоуправления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показывает высокий уровень использования правового института служебной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тайны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статье рассмотрены правовые аспекты законодательства о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служебной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тайне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сформулированы выводы о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доминировании административно-правовых норм и месте института служебной тайны в системе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административного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64A697D3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7813F23" w14:textId="28D1D9A0" w:rsidR="00AE1612" w:rsidRPr="007D3FD0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AE1612"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государственные органы, информация ограниченного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доступа, государственно значимая информация, административно-правовой</w:t>
      </w:r>
      <w:r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режим информации, государственные секреты, </w:t>
      </w:r>
      <w:proofErr w:type="spellStart"/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служебная</w:t>
      </w:r>
      <w:proofErr w:type="spellEnd"/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тайна</w:t>
      </w:r>
      <w:proofErr w:type="spellEnd"/>
      <w:r w:rsidR="00AE1612"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4F55C37B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3538460E" w14:textId="0C3C4CC4" w:rsidR="00AE1612" w:rsidRPr="007D3FD0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improvement of administrative legislation reflects the ongoing changes in the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public law sphere in Russia in the context of the information society. However, the legal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regulation of the collection, creation, use and provision of restricted service information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remains unresolved. In the course of democratic reforms and legalization of the processes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of turnover of state-important information, the main attention of the legislator was paid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to improving the legal regime of state secrets. Meanwhile, an analysis of the practice of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state and local self-government bodies shows a high level of use of the legal institution of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official secrets. The article considers the legal aspects of the legislation on official secrets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and draws conclusions about the dominance of administrative law and the place of the</w:t>
      </w:r>
      <w:r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="00AE1612"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institution of official secrets in the system of administrative law.</w:t>
      </w:r>
    </w:p>
    <w:p w14:paraId="0E9737F8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09F478B3" w14:textId="044C3A1E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state bodies, restricted access information, state significant information,</w:t>
      </w:r>
      <w:r w:rsidR="00986415" w:rsidRPr="0098641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administrative and legal regime of information, state secrets, official secrets.</w:t>
      </w:r>
    </w:p>
    <w:p w14:paraId="6A078D54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163D87DA" w14:textId="7B5E4199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Межотраслевые исследования</w:t>
      </w:r>
    </w:p>
    <w:p w14:paraId="458AD9D8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44A97F" w14:textId="0EED6DC7" w:rsidR="00AE1612" w:rsidRPr="00986415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Ю.Б. </w:t>
      </w:r>
      <w:proofErr w:type="spellStart"/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Корсаненкова</w:t>
      </w:r>
      <w:proofErr w:type="spellEnd"/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 юридических наук, доцент кафедры</w:t>
      </w:r>
      <w:r w:rsidR="00986415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трудового права юридического факультета МГУ</w:t>
      </w:r>
      <w:r w:rsidRPr="007D3FD0">
        <w:rPr>
          <w:rFonts w:ascii="Times New Roman" w:eastAsia="Newton-Regular" w:hAnsi="Times New Roman" w:cs="Times New Roman"/>
          <w:color w:val="FFFFFF"/>
          <w:sz w:val="24"/>
          <w:szCs w:val="24"/>
          <w:lang w:val="ru-RU"/>
        </w:rPr>
        <w:t>24</w:t>
      </w:r>
    </w:p>
    <w:p w14:paraId="1EC2774B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A64AC8" w14:textId="024A26C7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Право социального обеспечения и уголовное</w:t>
      </w:r>
      <w:r w:rsidR="00986415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 уголовно-исполнительное право:</w:t>
      </w:r>
    </w:p>
    <w:p w14:paraId="46C530C4" w14:textId="6C083843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межотраслевые связи</w:t>
      </w:r>
    </w:p>
    <w:p w14:paraId="2FFC2315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64986D0" w14:textId="3844A558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статье поставлена цель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уяснения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специфики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видов межотраслевых связей права социального обеспечения с уголовным и уголовно-исполнительным отраслями права.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ходе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межотраслевого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пересечения уголовного права и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 социального обеспечения выявляются охранительные, функциональные и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терминологические межотраслевые связи рассматриваемых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отраслей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Акцентируется внимание на вопросах коллизионного регулирования смежных отношений (по обязательному социальному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страхованию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осужденных) в сфере действия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уголовно-исполнительного права и права социального обеспечения и предлагаются</w:t>
      </w:r>
      <w:r w:rsidR="0098641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пути их решения.</w:t>
      </w:r>
    </w:p>
    <w:p w14:paraId="44B9AAE2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4BA4291" w14:textId="6A126E3F" w:rsidR="00AE1612" w:rsidRPr="00986415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право социального обеспечения, уголовное право, уголовно-исполнительное право, функции и принципы права, межотраслевые</w:t>
      </w:r>
      <w:r w:rsidR="00986415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86415">
        <w:rPr>
          <w:rFonts w:ascii="Times New Roman" w:eastAsia="Newton-Regular" w:hAnsi="Times New Roman" w:cs="Times New Roman"/>
          <w:sz w:val="24"/>
          <w:szCs w:val="24"/>
          <w:lang w:val="ru-RU"/>
        </w:rPr>
        <w:t>связи.</w:t>
      </w:r>
    </w:p>
    <w:p w14:paraId="38E2FA9C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12636491" w14:textId="0A75A985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purpose of the article is to identify interbranch relations of social security law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аnd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criminal and penal enforcement branches of law. The article reveals the protective,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functional and terminological relations of these branches of law. The author focuses on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issues of conflict-of-laws regulation of related intersectoral connections (on compulsory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social insurance of convicts) in the field of penal enforcement law and social security</w:t>
      </w:r>
      <w:r w:rsidR="00986415" w:rsidRPr="0098641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law and suggests ways to solve them.</w:t>
      </w:r>
    </w:p>
    <w:p w14:paraId="77E498FE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282505EC" w14:textId="5EF4FEEC" w:rsidR="00AE1612" w:rsidRPr="007D3FD0" w:rsidRDefault="00AE1612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7D3FD0">
        <w:rPr>
          <w:rFonts w:ascii="Times New Roman" w:eastAsia="Newton-BoldItalic" w:hAnsi="Times New Roman" w:cs="Times New Roman"/>
          <w:b/>
          <w:bCs/>
          <w:sz w:val="24"/>
          <w:szCs w:val="24"/>
        </w:rPr>
        <w:t xml:space="preserve">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social security law, criminal law, penal enforcement law, functions and principles of law, intersectoral connections of branches of law.</w:t>
      </w:r>
    </w:p>
    <w:p w14:paraId="0FF54397" w14:textId="4F2EAF14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4917DD21" w14:textId="77777777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Трибуна</w:t>
      </w:r>
      <w:proofErr w:type="spellEnd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молодых</w:t>
      </w:r>
      <w:proofErr w:type="spellEnd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ученых</w:t>
      </w:r>
      <w:proofErr w:type="spellEnd"/>
    </w:p>
    <w:p w14:paraId="61491046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A7A3CB" w14:textId="57581152" w:rsidR="007D3FD0" w:rsidRPr="00986415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К.В. Подвойский,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аспирант кафедры криминалистики юридического</w:t>
      </w:r>
      <w:r w:rsidR="00986415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факультета МГУ</w:t>
      </w:r>
      <w:r w:rsidRPr="007D3FD0">
        <w:rPr>
          <w:rFonts w:ascii="Times New Roman" w:eastAsia="Newton-Regular" w:hAnsi="Times New Roman" w:cs="Times New Roman"/>
          <w:color w:val="FFFFFF"/>
          <w:sz w:val="24"/>
          <w:szCs w:val="24"/>
          <w:lang w:val="ru-RU"/>
        </w:rPr>
        <w:t>44</w:t>
      </w:r>
    </w:p>
    <w:p w14:paraId="760E4373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A9B7C7" w14:textId="27F574CB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Ложь в структуре криминалистического</w:t>
      </w:r>
      <w:r w:rsidR="00986415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познания (</w:t>
      </w:r>
      <w:r w:rsidRPr="007D3FD0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статья первая</w:t>
      </w:r>
      <w:r w:rsidRPr="007D3FD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06EBA2E3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CFF6716" w14:textId="57EDD553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 позиций системно-деятельностного подхода рассматривается место</w:t>
      </w:r>
      <w:r w:rsidR="00986415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лжи в структуре криминалистического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познания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. В первой из двух взаимосвязанных статей исследуются особенности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лжи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в качестве объекта данной деятельности. С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учетом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понятия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лжи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как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передачи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информации в целях введения</w:t>
      </w:r>
      <w:r w:rsidR="00986415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кого-либо в заблуждение анализируется динамическая структура криминалистического познания.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Автор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приходит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к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выводу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что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исследование лжи в процессе данной деятельности может преследовать задачи доказывания обстоятельств совершения лжи, а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также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ее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преодоления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14:paraId="40EA904A" w14:textId="77777777" w:rsidR="00986415" w:rsidRDefault="00986415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AE96F39" w14:textId="62E33EFC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ложь, введение в заблуждение, криминалистическое</w:t>
      </w:r>
      <w:r w:rsidR="009847C1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9847C1">
        <w:rPr>
          <w:rFonts w:ascii="Times New Roman" w:eastAsia="Newton-Regular" w:hAnsi="Times New Roman" w:cs="Times New Roman"/>
          <w:sz w:val="24"/>
          <w:szCs w:val="24"/>
          <w:lang w:val="ru-RU"/>
        </w:rPr>
        <w:t>познание, тактика расследования.</w:t>
      </w:r>
    </w:p>
    <w:p w14:paraId="2EEF513F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7B4233FD" w14:textId="799F3F1F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From the standpoint of the system-activity approach, the place of lie in the structure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of forensic cognition was considered. The first of two related articles explores the characteristics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of lying as the object of forensic cognition. According to the concept of a lie as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a communication of information, committed in order to mislead someone, the dynamic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structure of forensic knowledge was analyzed. The author concluded that the study of a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lie in the process of this activity can pursue the task of proving the circumstances of the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commission of a lie, as well as overcoming it.</w:t>
      </w:r>
    </w:p>
    <w:p w14:paraId="21237CE0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37468A83" w14:textId="6D4592F4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lies, deception, forensic cognition, investigation tactics.</w:t>
      </w:r>
    </w:p>
    <w:p w14:paraId="15400413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9B74D0" w14:textId="453B180A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Д.С. Денисов,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ассистент кафедры истории государства и права юридического факультета МГУ</w:t>
      </w:r>
    </w:p>
    <w:p w14:paraId="72A697C7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701BD2" w14:textId="7BA106D1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суверенного иммунитета</w:t>
      </w:r>
      <w:r w:rsid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Великобритании в конце </w:t>
      </w:r>
      <w:r w:rsidRPr="007D3FD0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— начале </w:t>
      </w:r>
      <w:r w:rsidRPr="007D3FD0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14:paraId="3F8592F2" w14:textId="6B8F6A3F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статья</w:t>
      </w:r>
      <w:proofErr w:type="spellEnd"/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третья</w:t>
      </w:r>
      <w:proofErr w:type="spellEnd"/>
      <w:r w:rsidRPr="007D3F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699BA8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A967E58" w14:textId="38445573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Настоящая статья продолжает цикл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работ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об эволюции суверенного иммунитета в английском праве.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приходит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 выводу о возникшем парадоксе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между абсолютным суверенным иммунитетом и принципом справедливого судебного разбирательства в английском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приведшем к изменению толкования принципа «король не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может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совершить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правонарушение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». Для сохранения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фундаментальных основ британской конституции специально был разработан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Акт об исках к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короне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1947 г., который предусматривал основания инициирования судебных споров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отношении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британского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суверена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статье при рассмотрении Акта об исках к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Короне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судебных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прецедентов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«Зэ Порто Александре»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(1920) и «Зэ Филиппин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Эдмирал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» (1973) также затрагиваются причины перехода к ограничительной модели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суверенного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иммунитета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73C3A92B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07B2A83" w14:textId="1BFF2E2F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суверенный иммунитет, юрисдикционный иммунитет, абсолютный иммунитет, функциональный иммунитет, Великобритания, консти</w:t>
      </w:r>
      <w:r w:rsidRP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туция</w:t>
      </w:r>
      <w:r w:rsidRPr="009847C1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14E3D397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4B8C8275" w14:textId="717B3B3B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extends the cycle of works on the problem of sovereign immunity in English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law. The author assumes that vagueness between absolute sovereign immunity doctrine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and due process in English law leads to the change of interpretation of “The King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Can Do No Wrong” doctrine. The Crown Proceedings Act 1947 was adopted in order to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preserve the fundamental principles of the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British constitution and implement separate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grounds for claims against the British sovereign. This part of the research reveals why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absolute doctrine of sovereign immunity was replaced by a restrictive approach in the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light of adoption of The Crown Proceedings Act and judicial review in The Porto Alexandre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(1920) and The Philippine Admiral (1973) precedents.</w:t>
      </w:r>
    </w:p>
    <w:p w14:paraId="4820DA9E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CAFBE50" w14:textId="6A02E346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sovereign immunity, jurisdictional immunity, absolute immunity,</w:t>
      </w:r>
      <w:r w:rsidR="009847C1" w:rsidRPr="009847C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restrictive immunity, United Kingdom, constitution.</w:t>
      </w:r>
    </w:p>
    <w:p w14:paraId="26034B78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2D26C0" w14:textId="049A75B3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И.В. Палиенко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аспирант кафедры правового обеспечения рыночной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экономики Института государственной службы и управления РАНХиГС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 Президенте РФ</w:t>
      </w:r>
    </w:p>
    <w:p w14:paraId="46FB320D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6B571C" w14:textId="2155E850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Исключение из принципа относительности</w:t>
      </w:r>
      <w:r w:rsid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обязательственного правоотношения</w:t>
      </w:r>
    </w:p>
    <w:p w14:paraId="4DF497CE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4D56CEEC" w14:textId="03D84A4C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посвящена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разделению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категорий «абсолютность» и «относительность» в теории правоотношений.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Основная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цель такого деления обусловлена наличием существования социально значимых отношений, складывающихся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первом случае (абсолютные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)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между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конкретным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лицом и иными лицами,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во втором (относительные права) —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между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конкретными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лицами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В результате автор приходит к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относительное правоотношение не исчерпывается в своем действии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между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непосредственными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участниками, но и имеет</w:t>
      </w:r>
      <w:r w:rsidR="009847C1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некий «абсолютный» эффект в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отношении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других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лиц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6FB45267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A81E964" w14:textId="2EC3E983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>Ключевые слова</w:t>
      </w:r>
      <w:r w:rsidRPr="007D3FD0">
        <w:rPr>
          <w:rFonts w:ascii="Times New Roman" w:eastAsia="Newton-Italic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обязательство, относительные права, абсолютные права, чисто экономические убытки, </w:t>
      </w:r>
      <w:proofErr w:type="spellStart"/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интервенция</w:t>
      </w:r>
      <w:proofErr w:type="spellEnd"/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договорные</w:t>
      </w:r>
      <w:proofErr w:type="spellEnd"/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отношения</w:t>
      </w:r>
      <w:proofErr w:type="spellEnd"/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77E685F1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345164FC" w14:textId="19A87A00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division of the categories "absoluteness" and "relativity"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in the theory of legal relations. In our opinion, the main purpose of such division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arises from the existence of socially significant relationships that develop, in the first case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(absolute rights), between a particular person and other persons, in the second (relative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rights) — between specific persons. As a result, the author concludes, that the relative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legal relationship is not exhausted in its action between direct participants, but to some</w:t>
      </w:r>
      <w:r w:rsidR="009847C1" w:rsidRPr="009847C1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</w:rPr>
        <w:t>extent has an “absolute” effect in relation to other persons.</w:t>
      </w:r>
    </w:p>
    <w:p w14:paraId="60FDD017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CEFE87D" w14:textId="18DA90E7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7D3FD0">
        <w:rPr>
          <w:rFonts w:ascii="Times New Roman" w:eastAsia="Newton-Italic" w:hAnsi="Times New Roman" w:cs="Times New Roman"/>
          <w:b/>
          <w:bCs/>
          <w:sz w:val="24"/>
          <w:szCs w:val="24"/>
        </w:rPr>
        <w:t xml:space="preserve">: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obligation, relative rights, absolute rights, pure economic loss, interference</w:t>
      </w:r>
      <w:r w:rsidR="009847C1" w:rsidRPr="009847C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7D3FD0">
        <w:rPr>
          <w:rFonts w:ascii="Times New Roman" w:eastAsia="Newton-Regular" w:hAnsi="Times New Roman" w:cs="Times New Roman"/>
          <w:sz w:val="24"/>
          <w:szCs w:val="24"/>
        </w:rPr>
        <w:t>with contractual relations.</w:t>
      </w:r>
    </w:p>
    <w:p w14:paraId="531A9BE5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48E2419E" w14:textId="13F5ADD6" w:rsidR="007D3FD0" w:rsidRPr="007D3FD0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sz w:val="24"/>
          <w:szCs w:val="24"/>
          <w:lang w:val="ru-RU"/>
        </w:rPr>
        <w:t>Научная жизнь</w:t>
      </w:r>
    </w:p>
    <w:p w14:paraId="24B561EE" w14:textId="77777777" w:rsidR="009847C1" w:rsidRDefault="009847C1" w:rsidP="009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D91349" w14:textId="13976460" w:rsidR="009847C1" w:rsidRPr="009847C1" w:rsidRDefault="009847C1" w:rsidP="009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Н.С. Малютин</w:t>
      </w:r>
      <w:r w:rsidRPr="007D3FD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кандидат юридических наук, доцент кафедры конституционного и муниципального права юридического факультета МГУ</w:t>
      </w:r>
      <w:r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FFD214B" w14:textId="77777777" w:rsidR="009847C1" w:rsidRDefault="009847C1" w:rsidP="0098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1C0309A7" w14:textId="12EE8CCD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Конституционная трансформация правовой</w:t>
      </w:r>
      <w:r w:rsidR="009847C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системы России</w:t>
      </w:r>
      <w:r w:rsidR="009847C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(</w:t>
      </w:r>
      <w:r w:rsidRPr="007D3FD0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>обзор заседания секции «Юриспруденция» научной конференции</w:t>
      </w:r>
      <w:r w:rsidR="009847C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47C1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«Ломоносовские чтения»)</w:t>
      </w:r>
    </w:p>
    <w:p w14:paraId="16BD9F67" w14:textId="043DEDFB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5BF8483" w14:textId="5C866FAB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Валентин Яковлевич </w:t>
      </w:r>
      <w:proofErr w:type="spellStart"/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Колдин</w:t>
      </w:r>
      <w:proofErr w:type="spellEnd"/>
      <w:r w:rsid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>(1925–2020)</w:t>
      </w:r>
    </w:p>
    <w:p w14:paraId="6861DFD8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5E3906" w14:textId="48F21021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Людмила Тимофеевна Ульянова</w:t>
      </w:r>
      <w:r w:rsid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>(1928–2020)</w:t>
      </w:r>
    </w:p>
    <w:p w14:paraId="007BA781" w14:textId="77777777" w:rsidR="009847C1" w:rsidRDefault="009847C1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5318CD" w14:textId="786283E6" w:rsidR="007D3FD0" w:rsidRPr="009847C1" w:rsidRDefault="007D3FD0" w:rsidP="007D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Указатель статей и материалов, опубликованных в журнале</w:t>
      </w:r>
      <w:r w:rsidR="009847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3FD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«Вестник Московского университета. Серия 11. Право» за 2020 г.</w:t>
      </w:r>
    </w:p>
    <w:p w14:paraId="525B4DA1" w14:textId="6406E3F4" w:rsidR="00CA22F0" w:rsidRPr="007D3FD0" w:rsidRDefault="00CA22F0" w:rsidP="006C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2BD27A93" w14:textId="2A1CA859" w:rsidR="009028BD" w:rsidRPr="007D3FD0" w:rsidRDefault="009028BD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53903185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739BCADD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5132BF77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3EE70D3C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58AD89A8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13928CD0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042A7647" w14:textId="77777777" w:rsidR="00AE1612" w:rsidRPr="007D3FD0" w:rsidRDefault="00AE1612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33016FF4" w14:textId="46CAAC25" w:rsidR="009028BD" w:rsidRPr="00791605" w:rsidRDefault="009028BD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155167E6" w14:textId="77777777" w:rsidR="00952D98" w:rsidRPr="00791605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650422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A76710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814666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5633B3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4778F0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762167" w14:textId="77777777" w:rsidR="00952D98" w:rsidRPr="009028BD" w:rsidRDefault="00952D98" w:rsidP="0090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C95336" w14:textId="5CFCC4E7" w:rsidR="00202AE1" w:rsidRPr="005B30B4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5403B932" w14:textId="77777777" w:rsidR="00202AE1" w:rsidRPr="005B30B4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33A9150C" w14:textId="77777777" w:rsidR="00202AE1" w:rsidRPr="005B30B4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0F19390E" w14:textId="105B2D07" w:rsidR="00DA5D25" w:rsidRPr="005B30B4" w:rsidRDefault="00527666" w:rsidP="00DA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30B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9134D4C" w14:textId="289004B1" w:rsidR="00527666" w:rsidRPr="005B30B4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11AD1048" w14:textId="77777777" w:rsidR="00B8618C" w:rsidRPr="005B30B4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303A95" w14:textId="39443614" w:rsidR="00F72381" w:rsidRPr="005B30B4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72381" w:rsidRPr="005B3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9070000" w:usb2="00000010" w:usb3="00000000" w:csb0="000A0004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5DA7"/>
    <w:rsid w:val="00026E75"/>
    <w:rsid w:val="00040FAA"/>
    <w:rsid w:val="00041D9B"/>
    <w:rsid w:val="0004656D"/>
    <w:rsid w:val="000468D5"/>
    <w:rsid w:val="000575A3"/>
    <w:rsid w:val="00060BC5"/>
    <w:rsid w:val="00075C74"/>
    <w:rsid w:val="00094A79"/>
    <w:rsid w:val="000A5630"/>
    <w:rsid w:val="000B11F6"/>
    <w:rsid w:val="000B3344"/>
    <w:rsid w:val="000C368D"/>
    <w:rsid w:val="000D7D1A"/>
    <w:rsid w:val="00117044"/>
    <w:rsid w:val="00121AAA"/>
    <w:rsid w:val="00132FA1"/>
    <w:rsid w:val="00134125"/>
    <w:rsid w:val="001450AB"/>
    <w:rsid w:val="001628F7"/>
    <w:rsid w:val="00163605"/>
    <w:rsid w:val="00186181"/>
    <w:rsid w:val="001B351B"/>
    <w:rsid w:val="001C58F5"/>
    <w:rsid w:val="001F50D3"/>
    <w:rsid w:val="00200B4E"/>
    <w:rsid w:val="00202AE1"/>
    <w:rsid w:val="00204124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2A2F"/>
    <w:rsid w:val="002D4A7C"/>
    <w:rsid w:val="002E48E4"/>
    <w:rsid w:val="002F1B6B"/>
    <w:rsid w:val="0031535D"/>
    <w:rsid w:val="00334CF7"/>
    <w:rsid w:val="0035538D"/>
    <w:rsid w:val="00366500"/>
    <w:rsid w:val="00366892"/>
    <w:rsid w:val="00366C5D"/>
    <w:rsid w:val="00395AA1"/>
    <w:rsid w:val="003C1349"/>
    <w:rsid w:val="003C1B4C"/>
    <w:rsid w:val="003C485A"/>
    <w:rsid w:val="003D349C"/>
    <w:rsid w:val="003E028C"/>
    <w:rsid w:val="003F4F93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27666"/>
    <w:rsid w:val="005379FA"/>
    <w:rsid w:val="00542501"/>
    <w:rsid w:val="00551CB4"/>
    <w:rsid w:val="00551DFF"/>
    <w:rsid w:val="00571F1F"/>
    <w:rsid w:val="005734A5"/>
    <w:rsid w:val="0057765B"/>
    <w:rsid w:val="005826A2"/>
    <w:rsid w:val="00587AC5"/>
    <w:rsid w:val="00591DC2"/>
    <w:rsid w:val="005B2726"/>
    <w:rsid w:val="005B30B4"/>
    <w:rsid w:val="005B5D42"/>
    <w:rsid w:val="005D07A8"/>
    <w:rsid w:val="005E23C8"/>
    <w:rsid w:val="00602221"/>
    <w:rsid w:val="0060720B"/>
    <w:rsid w:val="0062793D"/>
    <w:rsid w:val="00630E10"/>
    <w:rsid w:val="00654853"/>
    <w:rsid w:val="006666B4"/>
    <w:rsid w:val="006B0B3F"/>
    <w:rsid w:val="006B354F"/>
    <w:rsid w:val="006C0DCB"/>
    <w:rsid w:val="00700213"/>
    <w:rsid w:val="00702F94"/>
    <w:rsid w:val="007072EB"/>
    <w:rsid w:val="007102D2"/>
    <w:rsid w:val="00711F8E"/>
    <w:rsid w:val="007136F9"/>
    <w:rsid w:val="00722D26"/>
    <w:rsid w:val="00791605"/>
    <w:rsid w:val="00792819"/>
    <w:rsid w:val="0079686C"/>
    <w:rsid w:val="007B3A7A"/>
    <w:rsid w:val="007C357E"/>
    <w:rsid w:val="007D17F2"/>
    <w:rsid w:val="007D21D4"/>
    <w:rsid w:val="007D3FD0"/>
    <w:rsid w:val="007E660E"/>
    <w:rsid w:val="007F750C"/>
    <w:rsid w:val="00801C25"/>
    <w:rsid w:val="00815CFD"/>
    <w:rsid w:val="00821181"/>
    <w:rsid w:val="008225B5"/>
    <w:rsid w:val="00827557"/>
    <w:rsid w:val="00853D56"/>
    <w:rsid w:val="00885983"/>
    <w:rsid w:val="008A7E3E"/>
    <w:rsid w:val="008D620F"/>
    <w:rsid w:val="009028BD"/>
    <w:rsid w:val="00904493"/>
    <w:rsid w:val="00906029"/>
    <w:rsid w:val="00906B38"/>
    <w:rsid w:val="009151F1"/>
    <w:rsid w:val="00932E66"/>
    <w:rsid w:val="00934FCF"/>
    <w:rsid w:val="00952D98"/>
    <w:rsid w:val="00967529"/>
    <w:rsid w:val="00975A63"/>
    <w:rsid w:val="00976620"/>
    <w:rsid w:val="0097754B"/>
    <w:rsid w:val="009847C1"/>
    <w:rsid w:val="00986415"/>
    <w:rsid w:val="00993E1C"/>
    <w:rsid w:val="009961D9"/>
    <w:rsid w:val="009A7B6B"/>
    <w:rsid w:val="009B5E0D"/>
    <w:rsid w:val="009C2036"/>
    <w:rsid w:val="009E2CF3"/>
    <w:rsid w:val="00A15428"/>
    <w:rsid w:val="00A252D7"/>
    <w:rsid w:val="00AA12D9"/>
    <w:rsid w:val="00AA738C"/>
    <w:rsid w:val="00AA7723"/>
    <w:rsid w:val="00AD264E"/>
    <w:rsid w:val="00AE1612"/>
    <w:rsid w:val="00B138A6"/>
    <w:rsid w:val="00B33674"/>
    <w:rsid w:val="00B524F9"/>
    <w:rsid w:val="00B5284B"/>
    <w:rsid w:val="00B537D9"/>
    <w:rsid w:val="00B560CC"/>
    <w:rsid w:val="00B617CA"/>
    <w:rsid w:val="00B61BE9"/>
    <w:rsid w:val="00B8618C"/>
    <w:rsid w:val="00BB7690"/>
    <w:rsid w:val="00BC0727"/>
    <w:rsid w:val="00BD1558"/>
    <w:rsid w:val="00BF0337"/>
    <w:rsid w:val="00BF432B"/>
    <w:rsid w:val="00BF516C"/>
    <w:rsid w:val="00BF555A"/>
    <w:rsid w:val="00C22AE6"/>
    <w:rsid w:val="00C41462"/>
    <w:rsid w:val="00C520B7"/>
    <w:rsid w:val="00C77EE3"/>
    <w:rsid w:val="00C83DCB"/>
    <w:rsid w:val="00CA0B9E"/>
    <w:rsid w:val="00CA22F0"/>
    <w:rsid w:val="00CB53A7"/>
    <w:rsid w:val="00CE5D22"/>
    <w:rsid w:val="00CF5C46"/>
    <w:rsid w:val="00D1295B"/>
    <w:rsid w:val="00D2331A"/>
    <w:rsid w:val="00D369A1"/>
    <w:rsid w:val="00DA5D25"/>
    <w:rsid w:val="00DB141C"/>
    <w:rsid w:val="00DC3BFC"/>
    <w:rsid w:val="00DD4AFC"/>
    <w:rsid w:val="00DD59ED"/>
    <w:rsid w:val="00DE243F"/>
    <w:rsid w:val="00DE2B12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356"/>
    <w:rsid w:val="00EE0745"/>
    <w:rsid w:val="00F03D72"/>
    <w:rsid w:val="00F05828"/>
    <w:rsid w:val="00F26231"/>
    <w:rsid w:val="00F3342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C141E"/>
    <w:rsid w:val="00FD6F0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12</cp:revision>
  <dcterms:created xsi:type="dcterms:W3CDTF">2020-07-28T03:35:00Z</dcterms:created>
  <dcterms:modified xsi:type="dcterms:W3CDTF">2021-01-10T00:45:00Z</dcterms:modified>
</cp:coreProperties>
</file>