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E433" w14:textId="756D7EBA" w:rsidR="00F4097D" w:rsidRPr="007D3FD0" w:rsidRDefault="00F4097D" w:rsidP="007D3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FD0">
        <w:rPr>
          <w:rFonts w:ascii="Times New Roman" w:hAnsi="Times New Roman" w:cs="Times New Roman"/>
          <w:b/>
          <w:sz w:val="24"/>
          <w:szCs w:val="24"/>
          <w:lang w:val="ru-RU"/>
        </w:rPr>
        <w:t>Вестник Московского университета</w:t>
      </w:r>
    </w:p>
    <w:p w14:paraId="4F654913" w14:textId="77777777" w:rsidR="00F4097D" w:rsidRPr="007D3FD0" w:rsidRDefault="00F4097D" w:rsidP="007D3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F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Серия 11 Право </w:t>
      </w:r>
    </w:p>
    <w:p w14:paraId="7BB141DA" w14:textId="77777777" w:rsidR="00F4097D" w:rsidRPr="007D3FD0" w:rsidRDefault="00F4097D" w:rsidP="007D3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F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Научный журнал </w:t>
      </w:r>
    </w:p>
    <w:p w14:paraId="5A38543C" w14:textId="77777777" w:rsidR="00F4097D" w:rsidRPr="007D3FD0" w:rsidRDefault="00F4097D" w:rsidP="007D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FD0">
        <w:rPr>
          <w:rFonts w:ascii="Times New Roman" w:hAnsi="Times New Roman" w:cs="Times New Roman"/>
          <w:sz w:val="24"/>
          <w:szCs w:val="24"/>
          <w:lang w:val="ru-RU"/>
        </w:rPr>
        <w:t>Основан в ноябре 1946 г.</w:t>
      </w:r>
    </w:p>
    <w:p w14:paraId="3E046E5E" w14:textId="77777777" w:rsidR="00F4097D" w:rsidRPr="007D3FD0" w:rsidRDefault="00F4097D" w:rsidP="007D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FD0">
        <w:rPr>
          <w:rFonts w:ascii="Times New Roman" w:hAnsi="Times New Roman" w:cs="Times New Roman"/>
          <w:sz w:val="24"/>
          <w:szCs w:val="24"/>
          <w:lang w:val="ru-RU"/>
        </w:rPr>
        <w:t>Издательство Московского университета</w:t>
      </w:r>
    </w:p>
    <w:p w14:paraId="4B0AED8E" w14:textId="77777777" w:rsidR="00F4097D" w:rsidRPr="007D3FD0" w:rsidRDefault="00F4097D" w:rsidP="007D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483F84" w14:textId="77777777" w:rsidR="00F4097D" w:rsidRPr="007D3FD0" w:rsidRDefault="00F4097D" w:rsidP="007D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FD0">
        <w:rPr>
          <w:rFonts w:ascii="Times New Roman" w:hAnsi="Times New Roman" w:cs="Times New Roman"/>
          <w:sz w:val="24"/>
          <w:szCs w:val="24"/>
          <w:lang w:val="ru-RU"/>
        </w:rPr>
        <w:t>Выходит один раз в два месяца</w:t>
      </w:r>
    </w:p>
    <w:p w14:paraId="57B9B079" w14:textId="77777777" w:rsidR="00F4097D" w:rsidRPr="007D3FD0" w:rsidRDefault="00F4097D" w:rsidP="007D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B4062D" w14:textId="4FA64BBF" w:rsidR="005379FA" w:rsidRPr="007D3FD0" w:rsidRDefault="009B5E0D" w:rsidP="007D3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F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5B30B4" w:rsidRPr="007D3FD0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7D3F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• 20</w:t>
      </w:r>
      <w:r w:rsidR="001F50D3" w:rsidRPr="007D3FD0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7D3F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• </w:t>
      </w:r>
      <w:r w:rsidR="005B30B4" w:rsidRPr="007D3FD0">
        <w:rPr>
          <w:rFonts w:ascii="Times New Roman" w:hAnsi="Times New Roman" w:cs="Times New Roman"/>
          <w:b/>
          <w:sz w:val="24"/>
          <w:szCs w:val="24"/>
          <w:lang w:val="ru-RU"/>
        </w:rPr>
        <w:t>ноябрь</w:t>
      </w:r>
      <w:r w:rsidR="00366500" w:rsidRPr="007D3FD0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5B30B4" w:rsidRPr="007D3FD0">
        <w:rPr>
          <w:rFonts w:ascii="Times New Roman" w:hAnsi="Times New Roman" w:cs="Times New Roman"/>
          <w:b/>
          <w:sz w:val="24"/>
          <w:szCs w:val="24"/>
          <w:lang w:val="ru-RU"/>
        </w:rPr>
        <w:t>дека</w:t>
      </w:r>
      <w:r w:rsidR="00CA22F0" w:rsidRPr="007D3FD0">
        <w:rPr>
          <w:rFonts w:ascii="Times New Roman" w:hAnsi="Times New Roman" w:cs="Times New Roman"/>
          <w:b/>
          <w:sz w:val="24"/>
          <w:szCs w:val="24"/>
          <w:lang w:val="ru-RU"/>
        </w:rPr>
        <w:t>брь</w:t>
      </w:r>
    </w:p>
    <w:p w14:paraId="76E70DAE" w14:textId="1904CF1D" w:rsidR="001F50D3" w:rsidRPr="007D3FD0" w:rsidRDefault="001F50D3" w:rsidP="007D3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B4B303" w14:textId="77777777" w:rsidR="00202AE1" w:rsidRPr="007D3FD0" w:rsidRDefault="00202AE1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  <w:r w:rsidRPr="007D3FD0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История государства и права</w:t>
      </w:r>
    </w:p>
    <w:p w14:paraId="6E5D72CF" w14:textId="481D4667" w:rsidR="00CA22F0" w:rsidRPr="007D3FD0" w:rsidRDefault="00CA22F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</w:p>
    <w:p w14:paraId="34BCBB9D" w14:textId="688BE27D" w:rsidR="00CA22F0" w:rsidRPr="007D3FD0" w:rsidRDefault="00CA22F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7D3FD0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Т.Е. Новицкая, </w:t>
      </w:r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доктор юридических наук, профессор кафедры истории государства и права юридического факультета МГУ</w:t>
      </w:r>
      <w:r w:rsidRPr="007D3FD0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1</w:t>
      </w:r>
      <w:r w:rsidRPr="007D3FD0">
        <w:rPr>
          <w:rFonts w:ascii="Cambria Math" w:eastAsia="Newton-Regular" w:hAnsi="Cambria Math" w:cs="Cambria Math"/>
          <w:color w:val="FFFFFF"/>
          <w:sz w:val="24"/>
          <w:szCs w:val="24"/>
          <w:lang w:val="ru-RU"/>
        </w:rPr>
        <w:t>∗</w:t>
      </w:r>
    </w:p>
    <w:p w14:paraId="26FED487" w14:textId="77777777" w:rsidR="009028BD" w:rsidRPr="007D3FD0" w:rsidRDefault="009028BD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B0EDCD4" w14:textId="5096FF02" w:rsidR="00591DC2" w:rsidRPr="007D3FD0" w:rsidRDefault="00CA22F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  <w:r w:rsidRPr="007D3FD0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Из истории административно-правовых режимов государственной безопасности в России (</w:t>
      </w:r>
      <w:r w:rsidRPr="007D3FD0">
        <w:rPr>
          <w:rFonts w:ascii="Times New Roman" w:eastAsia="Newton-Bold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статья</w:t>
      </w:r>
      <w:r w:rsidR="00591DC2" w:rsidRPr="007D3FD0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591DC2" w:rsidRPr="007D3FD0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>вторая</w:t>
      </w:r>
      <w:proofErr w:type="spellEnd"/>
      <w:r w:rsidR="00591DC2" w:rsidRPr="007D3FD0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)</w:t>
      </w:r>
    </w:p>
    <w:p w14:paraId="419F7417" w14:textId="77777777" w:rsidR="007D3FD0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236A4B5B" w14:textId="1EE13AF4" w:rsidR="00591DC2" w:rsidRPr="007D3FD0" w:rsidRDefault="00591DC2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статье предпринимается попытка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рассмотреть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способы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защиты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государства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от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внутренних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внешних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угроз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при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помощи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одного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из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установленных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законом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способов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: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административно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-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правовых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режимов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В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работе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показано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что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правовое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оформление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режимов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государственной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безопасности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происходило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периоды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когда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царское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правительство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боролось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с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принимавшим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угрожающие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размеры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терроризмом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последней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четверти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XIX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в., и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революции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1905–1907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гг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Представлено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развитие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законодательства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об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административно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-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правовых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режимах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государственной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безопасности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Советской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России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условиях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гражданской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войны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крестьянского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восстания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Тамбовской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губернии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22EAC4B2" w14:textId="77777777" w:rsidR="007D3FD0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4AFB9FCB" w14:textId="1D355AD8" w:rsidR="00591DC2" w:rsidRPr="007D3FD0" w:rsidRDefault="00591DC2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7D3FD0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7D3FD0">
        <w:rPr>
          <w:rFonts w:ascii="Times New Roman" w:eastAsia="Newton-Regular" w:hAnsi="Times New Roman" w:cs="Times New Roman"/>
          <w:sz w:val="24"/>
          <w:szCs w:val="24"/>
          <w:lang w:val="ru-RU"/>
        </w:rPr>
        <w:t>режимы усиленной и чрезвычайной охраны, военное положение, оккупационный режим.</w:t>
      </w:r>
    </w:p>
    <w:p w14:paraId="48AB2566" w14:textId="77777777" w:rsidR="009028BD" w:rsidRPr="007D3FD0" w:rsidRDefault="009028BD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7F38ED5A" w14:textId="32AA8B7D" w:rsidR="00591DC2" w:rsidRPr="007D3FD0" w:rsidRDefault="00591DC2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attempts to consider ways to protect the state from internal and external</w:t>
      </w:r>
      <w:r w:rsidR="007D3FD0"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threats using one of the methods established by law: administrative regimes of state</w:t>
      </w:r>
      <w:r w:rsidR="007D3FD0"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security. The paper shows that the legal formalization of state security regimes during</w:t>
      </w:r>
      <w:r w:rsidR="007D3FD0"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the periods when the tsarist government was struggling with terrorism that was taking on</w:t>
      </w:r>
      <w:r w:rsidR="00986415" w:rsidRPr="0098641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threatening in the last quarter of the XIX century and the revolution of 1905–1907. The</w:t>
      </w:r>
      <w:r w:rsidR="00986415" w:rsidRPr="0098641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article presents the development of legislation on state security regimes in Soviet Russia in</w:t>
      </w:r>
      <w:r w:rsidR="00986415" w:rsidRPr="0098641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the context of the civil war and the peasant uprising in the Tambov province.</w:t>
      </w:r>
    </w:p>
    <w:p w14:paraId="0911857F" w14:textId="77777777" w:rsidR="00986415" w:rsidRDefault="00986415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08C21D32" w14:textId="53B60603" w:rsidR="00591DC2" w:rsidRPr="007D3FD0" w:rsidRDefault="00591DC2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7D3FD0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7D3FD0">
        <w:rPr>
          <w:rFonts w:ascii="Times New Roman" w:eastAsia="Newton-Regular" w:hAnsi="Times New Roman" w:cs="Times New Roman"/>
          <w:sz w:val="24"/>
          <w:szCs w:val="24"/>
        </w:rPr>
        <w:t>strengthened protection and emergency security, martial law, occupation regime.</w:t>
      </w:r>
    </w:p>
    <w:p w14:paraId="599018F1" w14:textId="77777777" w:rsidR="006C0DCB" w:rsidRPr="007D3FD0" w:rsidRDefault="006C0DCB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0FA0A2E7" w14:textId="3D113E4E" w:rsidR="00CA22F0" w:rsidRPr="007D3FD0" w:rsidRDefault="00CA22F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7D3F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П.Л. Полянский,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доктор юридических наук, профессор кафедры истории государства и права юридического факультета МГУ</w:t>
      </w:r>
    </w:p>
    <w:p w14:paraId="265E9A92" w14:textId="77777777" w:rsidR="009028BD" w:rsidRPr="007D3FD0" w:rsidRDefault="009028BD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58FFE19" w14:textId="76AA1A52" w:rsidR="00CA22F0" w:rsidRPr="007D3FD0" w:rsidRDefault="00CA22F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3FD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Обследование Рабкрином</w:t>
      </w:r>
      <w:r w:rsidR="009028BD" w:rsidRPr="007D3F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3FD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судебно-следственной системы</w:t>
      </w:r>
      <w:r w:rsidR="009028BD" w:rsidRPr="007D3F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3F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="00591DC2" w:rsidRPr="007D3FD0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изменения процессуального</w:t>
      </w:r>
      <w:r w:rsidR="009864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91DC2" w:rsidRPr="007D3FD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законодательства конца нэпа</w:t>
      </w:r>
    </w:p>
    <w:p w14:paraId="5CBEC912" w14:textId="037F308C" w:rsidR="00591DC2" w:rsidRPr="007D3FD0" w:rsidRDefault="00591DC2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lastRenderedPageBreak/>
        <w:t>Статья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посвящена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предложениям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Рабкрина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изменению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норм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советского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гражданского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уголовного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процесса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В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оборот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вводятся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новые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материалы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которые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касаются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обоснования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содержания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инициатив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Рабкрина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а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также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их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реализации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Автор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делает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вывод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о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большой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пользе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проведенного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Рабкрином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обследования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для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исправления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существенных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недостатков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досудебной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подготовки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рассмотрения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дел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судах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различных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инстанций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Затронут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вопрос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о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позиции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роли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Наркомата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юстиции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РСФСР в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деле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реформирования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процессуального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законодательства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2300F556" w14:textId="77777777" w:rsidR="009028BD" w:rsidRPr="007D3FD0" w:rsidRDefault="009028BD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1B6A08EF" w14:textId="05D9CBA5" w:rsidR="006C0DCB" w:rsidRPr="007D3FD0" w:rsidRDefault="006C0DCB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7D3FD0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7D3FD0">
        <w:rPr>
          <w:rFonts w:ascii="Times New Roman" w:eastAsia="Newton-Regular" w:hAnsi="Times New Roman" w:cs="Times New Roman"/>
          <w:sz w:val="24"/>
          <w:szCs w:val="24"/>
          <w:lang w:val="ru-RU"/>
        </w:rPr>
        <w:t>Россия, нэп, Рабкрин,</w:t>
      </w:r>
      <w:r w:rsidRPr="00986415">
        <w:rPr>
          <w:rFonts w:ascii="Times New Roman" w:eastAsia="Newton-Italic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6415">
        <w:rPr>
          <w:rFonts w:ascii="Times New Roman" w:eastAsia="Newton-Italic" w:hAnsi="Times New Roman" w:cs="Times New Roman"/>
          <w:sz w:val="24"/>
          <w:szCs w:val="24"/>
          <w:lang w:val="ru-RU"/>
        </w:rPr>
        <w:t>гражданский</w:t>
      </w:r>
      <w:proofErr w:type="spellEnd"/>
      <w:r w:rsidRPr="00986415">
        <w:rPr>
          <w:rFonts w:ascii="Times New Roman" w:eastAsia="Newton-Italic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6415">
        <w:rPr>
          <w:rFonts w:ascii="Times New Roman" w:eastAsia="Newton-Italic" w:hAnsi="Times New Roman" w:cs="Times New Roman"/>
          <w:sz w:val="24"/>
          <w:szCs w:val="24"/>
          <w:lang w:val="ru-RU"/>
        </w:rPr>
        <w:t>процесс</w:t>
      </w:r>
      <w:proofErr w:type="spellEnd"/>
      <w:r w:rsidRPr="00986415">
        <w:rPr>
          <w:rFonts w:ascii="Times New Roman" w:eastAsia="Newton-Italic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86415">
        <w:rPr>
          <w:rFonts w:ascii="Times New Roman" w:eastAsia="Newton-Italic" w:hAnsi="Times New Roman" w:cs="Times New Roman"/>
          <w:sz w:val="24"/>
          <w:szCs w:val="24"/>
          <w:lang w:val="ru-RU"/>
        </w:rPr>
        <w:t>уголовный</w:t>
      </w:r>
      <w:proofErr w:type="spellEnd"/>
      <w:r w:rsidRPr="00986415">
        <w:rPr>
          <w:rFonts w:ascii="Times New Roman" w:eastAsia="Newton-Italic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6415">
        <w:rPr>
          <w:rFonts w:ascii="Times New Roman" w:eastAsia="Newton-Italic" w:hAnsi="Times New Roman" w:cs="Times New Roman"/>
          <w:sz w:val="24"/>
          <w:szCs w:val="24"/>
          <w:lang w:val="ru-RU"/>
        </w:rPr>
        <w:t>процесс</w:t>
      </w:r>
      <w:proofErr w:type="spellEnd"/>
      <w:r w:rsidRPr="00986415">
        <w:rPr>
          <w:rFonts w:ascii="Times New Roman" w:eastAsia="Newton-Italic" w:hAnsi="Times New Roman" w:cs="Times New Roman"/>
          <w:sz w:val="24"/>
          <w:szCs w:val="24"/>
          <w:lang w:val="ru-RU"/>
        </w:rPr>
        <w:t>.</w:t>
      </w:r>
    </w:p>
    <w:p w14:paraId="5B661A7E" w14:textId="77777777" w:rsidR="00986415" w:rsidRDefault="00986415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2CCB6CD9" w14:textId="36F35883" w:rsidR="006C0DCB" w:rsidRPr="007D3FD0" w:rsidRDefault="006C0DCB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This article devoted to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Rabkrin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’s (Workers’ and Peasants’ Inspection) proposals</w:t>
      </w:r>
      <w:r w:rsidR="00986415" w:rsidRPr="0098641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to change the norms of the Soviet civil and criminal procedure in the end of 1920th. New</w:t>
      </w:r>
      <w:r w:rsidR="00986415" w:rsidRPr="0098641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materials are introduced that relate to the content of the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Rabkrin's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initiatives, as well as</w:t>
      </w:r>
      <w:r w:rsidR="00986415" w:rsidRPr="0098641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their implementation. The author concludes that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Rabkrin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’s inspection is very useful for</w:t>
      </w:r>
      <w:r w:rsidR="00986415" w:rsidRPr="0098641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correcting shortcomings of soviet pre-trial and trial proceeding. The issue about the role</w:t>
      </w:r>
      <w:r w:rsidR="00986415" w:rsidRPr="0098641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of People’s Commissariat of Justice of the RSFSR in reforming procedural legislation is</w:t>
      </w:r>
      <w:r w:rsidR="00986415" w:rsidRPr="0098641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considered.</w:t>
      </w:r>
    </w:p>
    <w:p w14:paraId="3E0E8ACE" w14:textId="77777777" w:rsidR="00986415" w:rsidRDefault="00986415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52BEC474" w14:textId="30977920" w:rsidR="006C0DCB" w:rsidRPr="007D3FD0" w:rsidRDefault="006C0DCB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D3FD0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7D3FD0">
        <w:rPr>
          <w:rFonts w:ascii="Times New Roman" w:eastAsia="Newton-Regular" w:hAnsi="Times New Roman" w:cs="Times New Roman"/>
          <w:sz w:val="24"/>
          <w:szCs w:val="24"/>
        </w:rPr>
        <w:t xml:space="preserve">Russia, NEP, </w:t>
      </w:r>
      <w:proofErr w:type="spellStart"/>
      <w:r w:rsidRPr="007D3FD0">
        <w:rPr>
          <w:rFonts w:ascii="Times New Roman" w:eastAsia="Newton-Regular" w:hAnsi="Times New Roman" w:cs="Times New Roman"/>
          <w:sz w:val="24"/>
          <w:szCs w:val="24"/>
        </w:rPr>
        <w:t>Rabkrin</w:t>
      </w:r>
      <w:proofErr w:type="spellEnd"/>
      <w:r w:rsidRPr="007D3FD0">
        <w:rPr>
          <w:rFonts w:ascii="Times New Roman" w:eastAsia="Newton-Regular" w:hAnsi="Times New Roman" w:cs="Times New Roman"/>
          <w:sz w:val="24"/>
          <w:szCs w:val="24"/>
        </w:rPr>
        <w:t xml:space="preserve"> (Workers’ and Peasants’ Inspection), civil procedure, criminal procedure.</w:t>
      </w:r>
    </w:p>
    <w:p w14:paraId="2D164A22" w14:textId="4B52B696" w:rsidR="00CA22F0" w:rsidRPr="007D3FD0" w:rsidRDefault="00CA22F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1B4F9C7D" w14:textId="77777777" w:rsidR="006C0DCB" w:rsidRPr="007D3FD0" w:rsidRDefault="006C0DCB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D3FD0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Проблемы</w:t>
      </w:r>
      <w:proofErr w:type="spellEnd"/>
      <w:r w:rsidRPr="007D3FD0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административного</w:t>
      </w:r>
      <w:proofErr w:type="spellEnd"/>
      <w:r w:rsidRPr="007D3FD0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права</w:t>
      </w:r>
      <w:proofErr w:type="spellEnd"/>
    </w:p>
    <w:p w14:paraId="61A23C28" w14:textId="77777777" w:rsidR="00986415" w:rsidRDefault="00986415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BF18442" w14:textId="737676BA" w:rsidR="006C0DCB" w:rsidRPr="007D3FD0" w:rsidRDefault="006C0DCB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7D3FD0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В.А. Северин</w:t>
      </w:r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, доктор юридических наук,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профессор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кафедры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коммерческого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права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и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основ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правоведения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юридического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факультета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МГУ</w:t>
      </w:r>
    </w:p>
    <w:p w14:paraId="30A2EDA9" w14:textId="77777777" w:rsidR="00986415" w:rsidRDefault="00986415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923BDEB" w14:textId="22B5B9BB" w:rsidR="009028BD" w:rsidRPr="007D3FD0" w:rsidRDefault="006C0DCB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  <w:r w:rsidRPr="007D3FD0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Роль и место правового института служебной</w:t>
      </w:r>
      <w:r w:rsidR="00AE1612" w:rsidRPr="007D3FD0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тайны в системе административного права</w:t>
      </w:r>
    </w:p>
    <w:p w14:paraId="3393C789" w14:textId="1A2AA3B0" w:rsidR="00CA22F0" w:rsidRPr="007D3FD0" w:rsidRDefault="00CA22F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4D2A3066" w14:textId="1A9AC277" w:rsidR="009028BD" w:rsidRPr="007D3FD0" w:rsidRDefault="00AE1612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Совершенствование административного законодательства отражает</w:t>
      </w:r>
      <w:r w:rsidR="0098641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происходящие в </w:t>
      </w:r>
      <w:r w:rsidR="0098641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России преобразования в публично-правовой сфере в условиях</w:t>
      </w:r>
      <w:r w:rsidR="0098641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информационного общества.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Однако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остаются нерешенными вопросы правового регулирования сбора, создания, использования и предоставления служебной</w:t>
      </w:r>
      <w:r w:rsidR="0098641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информации ограниченного доступа. В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ходе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демократических реформ и легализации процессов оборота государственно значимой информации основное внимание законодателя было уделено совершенствованию правового режима государственной тайны.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Между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тем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анализ практики деятельности государственных</w:t>
      </w:r>
      <w:r w:rsidR="0098641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органов и органов местного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самоуправления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показывает высокий уровень использования правового института служебной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тайны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В статье рассмотрены правовые аспекты законодательства о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служебной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тайне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сформулированы выводы о</w:t>
      </w:r>
      <w:r w:rsidR="0098641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доминировании административно-правовых норм и месте института служебной тайны в системе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административного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права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64A697D3" w14:textId="77777777" w:rsidR="00986415" w:rsidRDefault="00986415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77813F23" w14:textId="28D1D9A0" w:rsidR="00AE1612" w:rsidRPr="007D3FD0" w:rsidRDefault="00986415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AE1612" w:rsidRPr="007D3FD0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="00AE1612" w:rsidRPr="007D3FD0">
        <w:rPr>
          <w:rFonts w:ascii="Times New Roman" w:eastAsia="Newton-Regular" w:hAnsi="Times New Roman" w:cs="Times New Roman"/>
          <w:sz w:val="24"/>
          <w:szCs w:val="24"/>
          <w:lang w:val="ru-RU"/>
        </w:rPr>
        <w:t>государственные органы, информация ограниченного</w:t>
      </w:r>
      <w:r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="00AE1612" w:rsidRPr="007D3FD0">
        <w:rPr>
          <w:rFonts w:ascii="Times New Roman" w:eastAsia="Newton-Regular" w:hAnsi="Times New Roman" w:cs="Times New Roman"/>
          <w:sz w:val="24"/>
          <w:szCs w:val="24"/>
          <w:lang w:val="ru-RU"/>
        </w:rPr>
        <w:t>доступа, государственно значимая информация, административно-правовой</w:t>
      </w:r>
      <w:r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="00AE1612" w:rsidRPr="007D3FD0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режим информации, государственные секреты, </w:t>
      </w:r>
      <w:proofErr w:type="spellStart"/>
      <w:r w:rsidR="00AE1612" w:rsidRPr="007D3FD0">
        <w:rPr>
          <w:rFonts w:ascii="Times New Roman" w:eastAsia="Newton-Regular" w:hAnsi="Times New Roman" w:cs="Times New Roman"/>
          <w:sz w:val="24"/>
          <w:szCs w:val="24"/>
          <w:lang w:val="ru-RU"/>
        </w:rPr>
        <w:t>служебная</w:t>
      </w:r>
      <w:proofErr w:type="spellEnd"/>
      <w:r w:rsidR="00AE1612" w:rsidRPr="007D3FD0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1612" w:rsidRPr="007D3FD0">
        <w:rPr>
          <w:rFonts w:ascii="Times New Roman" w:eastAsia="Newton-Regular" w:hAnsi="Times New Roman" w:cs="Times New Roman"/>
          <w:sz w:val="24"/>
          <w:szCs w:val="24"/>
          <w:lang w:val="ru-RU"/>
        </w:rPr>
        <w:t>тайна</w:t>
      </w:r>
      <w:proofErr w:type="spellEnd"/>
      <w:r w:rsidR="00AE1612" w:rsidRPr="007D3FD0">
        <w:rPr>
          <w:rFonts w:ascii="Times New Roman" w:eastAsia="Newton-Regular" w:hAnsi="Times New Roman" w:cs="Times New Roman"/>
          <w:sz w:val="24"/>
          <w:szCs w:val="24"/>
          <w:lang w:val="ru-RU"/>
        </w:rPr>
        <w:t>.</w:t>
      </w:r>
    </w:p>
    <w:p w14:paraId="4F55C37B" w14:textId="77777777" w:rsidR="00986415" w:rsidRDefault="00986415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3538460E" w14:textId="0C3C4CC4" w:rsidR="00AE1612" w:rsidRPr="007D3FD0" w:rsidRDefault="00986415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986415">
        <w:rPr>
          <w:rFonts w:ascii="Times New Roman" w:eastAsia="Newton-Italic" w:hAnsi="Times New Roman" w:cs="Times New Roman"/>
          <w:i/>
          <w:iCs/>
          <w:sz w:val="24"/>
          <w:szCs w:val="24"/>
        </w:rPr>
        <w:lastRenderedPageBreak/>
        <w:t xml:space="preserve"> </w:t>
      </w:r>
      <w:r w:rsidR="00AE1612"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The improvement of administrative legislation reflects the ongoing changes in the</w:t>
      </w:r>
      <w:r w:rsidRPr="0098641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="00AE1612"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public law sphere in Russia in the context of the information society. However, the legal</w:t>
      </w:r>
      <w:r w:rsidRPr="0098641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="00AE1612"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regulation of the collection, creation, use and provision of restricted service information</w:t>
      </w:r>
      <w:r w:rsidRPr="0098641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="00AE1612"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remains unresolved. In the course of democratic reforms and legalization of the processes</w:t>
      </w:r>
      <w:r w:rsidRPr="0098641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="00AE1612"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of turnover of state-important information, the main attention of the legislator was paid</w:t>
      </w:r>
      <w:r w:rsidRPr="0098641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="00AE1612"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to improving the legal regime of state secrets. Meanwhile, an analysis of the practice of</w:t>
      </w:r>
      <w:r w:rsidRPr="0098641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="00AE1612"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state and local self-government bodies shows a high level of use of the legal institution of</w:t>
      </w:r>
      <w:r w:rsidRPr="0098641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="00AE1612"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official secrets. The article considers the legal aspects of the legislation on official secrets</w:t>
      </w:r>
      <w:r w:rsidRPr="0098641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="00AE1612"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and draws conclusions about the dominance of administrative law and the place of the</w:t>
      </w:r>
      <w:r w:rsidRPr="0098641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="00AE1612"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institution of official secrets in the system of administrative law.</w:t>
      </w:r>
    </w:p>
    <w:p w14:paraId="0E9737F8" w14:textId="77777777" w:rsidR="00986415" w:rsidRDefault="00986415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09F478B3" w14:textId="044C3A1E" w:rsidR="00AE1612" w:rsidRPr="007D3FD0" w:rsidRDefault="00AE1612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D3FD0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7D3FD0">
        <w:rPr>
          <w:rFonts w:ascii="Times New Roman" w:eastAsia="Newton-Regular" w:hAnsi="Times New Roman" w:cs="Times New Roman"/>
          <w:sz w:val="24"/>
          <w:szCs w:val="24"/>
        </w:rPr>
        <w:t>state bodies, restricted access information, state significant information,</w:t>
      </w:r>
      <w:r w:rsidR="00986415" w:rsidRPr="00986415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7D3FD0">
        <w:rPr>
          <w:rFonts w:ascii="Times New Roman" w:eastAsia="Newton-Regular" w:hAnsi="Times New Roman" w:cs="Times New Roman"/>
          <w:sz w:val="24"/>
          <w:szCs w:val="24"/>
        </w:rPr>
        <w:t>administrative and legal regime of information, state secrets, official secrets.</w:t>
      </w:r>
    </w:p>
    <w:p w14:paraId="6A078D54" w14:textId="77777777" w:rsidR="00986415" w:rsidRDefault="00986415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</w:p>
    <w:p w14:paraId="163D87DA" w14:textId="7B5E4199" w:rsidR="00AE1612" w:rsidRPr="007D3FD0" w:rsidRDefault="00AE1612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  <w:r w:rsidRPr="007D3FD0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Межотраслевые исследования</w:t>
      </w:r>
    </w:p>
    <w:p w14:paraId="458AD9D8" w14:textId="77777777" w:rsidR="00986415" w:rsidRDefault="00986415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444A97F" w14:textId="0EED6DC7" w:rsidR="00AE1612" w:rsidRPr="00986415" w:rsidRDefault="00AE1612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7D3FD0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Ю.Б. </w:t>
      </w:r>
      <w:proofErr w:type="spellStart"/>
      <w:r w:rsidRPr="007D3FD0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Корсаненкова</w:t>
      </w:r>
      <w:proofErr w:type="spellEnd"/>
      <w:r w:rsidRPr="007D3FD0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кандидат юридических наук, доцент кафедры</w:t>
      </w:r>
      <w:r w:rsidR="00986415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трудового права юридического факультета МГУ</w:t>
      </w:r>
      <w:r w:rsidRPr="007D3FD0">
        <w:rPr>
          <w:rFonts w:ascii="Times New Roman" w:eastAsia="Newton-Regular" w:hAnsi="Times New Roman" w:cs="Times New Roman"/>
          <w:color w:val="FFFFFF"/>
          <w:sz w:val="24"/>
          <w:szCs w:val="24"/>
          <w:lang w:val="ru-RU"/>
        </w:rPr>
        <w:t>24</w:t>
      </w:r>
    </w:p>
    <w:p w14:paraId="1EC2774B" w14:textId="77777777" w:rsidR="00986415" w:rsidRDefault="00986415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6A64AC8" w14:textId="024A26C7" w:rsidR="00AE1612" w:rsidRPr="007D3FD0" w:rsidRDefault="00AE1612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  <w:r w:rsidRPr="007D3FD0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Право социального обеспечения и уголовное</w:t>
      </w:r>
      <w:r w:rsidR="00986415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и уголовно-исполнительное право:</w:t>
      </w:r>
    </w:p>
    <w:p w14:paraId="46C530C4" w14:textId="6C083843" w:rsidR="00AE1612" w:rsidRPr="007D3FD0" w:rsidRDefault="00AE1612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  <w:r w:rsidRPr="007D3FD0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межотраслевые связи</w:t>
      </w:r>
    </w:p>
    <w:p w14:paraId="2FFC2315" w14:textId="77777777" w:rsidR="00986415" w:rsidRDefault="00986415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764986D0" w14:textId="3844A558" w:rsidR="00AE1612" w:rsidRPr="007D3FD0" w:rsidRDefault="00AE1612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статье поставлена цель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уяснения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специфики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видов межотраслевых связей права социального обеспечения с уголовным и уголовно-исполнительным отраслями права. В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ходе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анализа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межотраслевого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пересечения уголовного права и</w:t>
      </w:r>
      <w:r w:rsidR="0098641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права социального обеспечения выявляются охранительные, функциональные и</w:t>
      </w:r>
      <w:r w:rsidR="0098641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терминологические межотраслевые связи рассматриваемых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отраслей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Акцентируется внимание на вопросах коллизионного регулирования смежных отношений (по обязательному социальному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страхованию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осужденных) в сфере действия</w:t>
      </w:r>
      <w:r w:rsidR="0098641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уголовно-исполнительного права и права социального обеспечения и предлагаются</w:t>
      </w:r>
      <w:r w:rsidR="00986415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пути их решения.</w:t>
      </w:r>
    </w:p>
    <w:p w14:paraId="44B9AAE2" w14:textId="77777777" w:rsidR="00986415" w:rsidRDefault="00986415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14BA4291" w14:textId="6A126E3F" w:rsidR="00AE1612" w:rsidRPr="00986415" w:rsidRDefault="00AE1612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7D3FD0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7D3FD0">
        <w:rPr>
          <w:rFonts w:ascii="Times New Roman" w:eastAsia="Newton-Regular" w:hAnsi="Times New Roman" w:cs="Times New Roman"/>
          <w:sz w:val="24"/>
          <w:szCs w:val="24"/>
          <w:lang w:val="ru-RU"/>
        </w:rPr>
        <w:t>право социального обеспечения, уголовное право, уголовно-исполнительное право, функции и принципы права, межотраслевые</w:t>
      </w:r>
      <w:r w:rsidR="00986415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986415">
        <w:rPr>
          <w:rFonts w:ascii="Times New Roman" w:eastAsia="Newton-Regular" w:hAnsi="Times New Roman" w:cs="Times New Roman"/>
          <w:sz w:val="24"/>
          <w:szCs w:val="24"/>
          <w:lang w:val="ru-RU"/>
        </w:rPr>
        <w:t>связи.</w:t>
      </w:r>
    </w:p>
    <w:p w14:paraId="38E2FA9C" w14:textId="77777777" w:rsidR="00986415" w:rsidRDefault="00986415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12636491" w14:textId="0A75A985" w:rsidR="00AE1612" w:rsidRPr="007D3FD0" w:rsidRDefault="00AE1612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The purpose of the article is to identify interbranch relations of social security law</w:t>
      </w:r>
      <w:r w:rsidR="00986415" w:rsidRPr="0098641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аnd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criminal and penal enforcement branches of law. The article reveals the protective,</w:t>
      </w:r>
      <w:r w:rsidR="00986415" w:rsidRPr="0098641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functional and terminological relations of these branches of law. The author focuses on</w:t>
      </w:r>
      <w:r w:rsidR="00986415" w:rsidRPr="0098641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the issues of conflict-of-laws regulation of related intersectoral connections (on compulsory</w:t>
      </w:r>
      <w:r w:rsidR="00986415" w:rsidRPr="0098641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social insurance of convicts) in the field of penal enforcement law and social security</w:t>
      </w:r>
      <w:r w:rsidR="00986415" w:rsidRPr="00986415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law and suggests ways to solve them.</w:t>
      </w:r>
    </w:p>
    <w:p w14:paraId="77E498FE" w14:textId="77777777" w:rsidR="00986415" w:rsidRDefault="00986415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282505EC" w14:textId="5EF4FEEC" w:rsidR="00AE1612" w:rsidRPr="007D3FD0" w:rsidRDefault="00AE1612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D3FD0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>Keywords</w:t>
      </w:r>
      <w:r w:rsidRPr="007D3FD0">
        <w:rPr>
          <w:rFonts w:ascii="Times New Roman" w:eastAsia="Newton-BoldItalic" w:hAnsi="Times New Roman" w:cs="Times New Roman"/>
          <w:b/>
          <w:bCs/>
          <w:sz w:val="24"/>
          <w:szCs w:val="24"/>
        </w:rPr>
        <w:t xml:space="preserve">: </w:t>
      </w:r>
      <w:r w:rsidRPr="007D3FD0">
        <w:rPr>
          <w:rFonts w:ascii="Times New Roman" w:eastAsia="Newton-Regular" w:hAnsi="Times New Roman" w:cs="Times New Roman"/>
          <w:sz w:val="24"/>
          <w:szCs w:val="24"/>
        </w:rPr>
        <w:t>social security law, criminal law, penal enforcement law, functions and principles of law, intersectoral connections of branches of law.</w:t>
      </w:r>
    </w:p>
    <w:p w14:paraId="0FF54397" w14:textId="4F2EAF14" w:rsidR="007D3FD0" w:rsidRPr="007D3FD0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4917DD21" w14:textId="77777777" w:rsidR="007D3FD0" w:rsidRPr="007D3FD0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D3FD0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Трибуна</w:t>
      </w:r>
      <w:proofErr w:type="spellEnd"/>
      <w:r w:rsidRPr="007D3FD0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молодых</w:t>
      </w:r>
      <w:proofErr w:type="spellEnd"/>
      <w:r w:rsidRPr="007D3FD0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ученых</w:t>
      </w:r>
      <w:proofErr w:type="spellEnd"/>
    </w:p>
    <w:p w14:paraId="61491046" w14:textId="77777777" w:rsidR="00986415" w:rsidRDefault="00986415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BA7A3CB" w14:textId="57581152" w:rsidR="007D3FD0" w:rsidRPr="00986415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7D3FD0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К.В. Подвойский, </w:t>
      </w:r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аспирант кафедры криминалистики юридического</w:t>
      </w:r>
      <w:r w:rsidR="00986415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факультета МГУ</w:t>
      </w:r>
      <w:r w:rsidRPr="007D3FD0">
        <w:rPr>
          <w:rFonts w:ascii="Times New Roman" w:eastAsia="Newton-Regular" w:hAnsi="Times New Roman" w:cs="Times New Roman"/>
          <w:color w:val="FFFFFF"/>
          <w:sz w:val="24"/>
          <w:szCs w:val="24"/>
          <w:lang w:val="ru-RU"/>
        </w:rPr>
        <w:t>44</w:t>
      </w:r>
    </w:p>
    <w:p w14:paraId="760E4373" w14:textId="77777777" w:rsidR="00986415" w:rsidRDefault="00986415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2A9B7C7" w14:textId="27F574CB" w:rsidR="007D3FD0" w:rsidRPr="007D3FD0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  <w:r w:rsidRPr="007D3FD0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Ложь в структуре криминалистического</w:t>
      </w:r>
      <w:r w:rsidR="00986415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познания (</w:t>
      </w:r>
      <w:r w:rsidRPr="007D3FD0">
        <w:rPr>
          <w:rFonts w:ascii="Times New Roman" w:eastAsia="Newton-Bold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статья первая</w:t>
      </w:r>
      <w:r w:rsidRPr="007D3FD0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06EBA2E3" w14:textId="77777777" w:rsidR="00986415" w:rsidRDefault="00986415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</w:p>
    <w:p w14:paraId="4CFF6716" w14:textId="57EDD553" w:rsidR="007D3FD0" w:rsidRPr="007D3FD0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С позиций системно-деятельностного подхода рассматривается место</w:t>
      </w:r>
      <w:r w:rsidR="00986415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лжи в структуре криминалистического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познания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. В первой из двух взаимосвязанных статей исследуются особенности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лжи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в качестве объекта данной деятельности. С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учетом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понятия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лжи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как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передачи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информации в целях введения</w:t>
      </w:r>
      <w:r w:rsidR="00986415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кого-либо в заблуждение анализируется динамическая структура криминалистического познания.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Автор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приходит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к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выводу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что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исследование лжи в процессе данной деятельности может преследовать задачи доказывания обстоятельств совершения лжи, а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также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ее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преодоления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14:paraId="40EA904A" w14:textId="77777777" w:rsidR="00986415" w:rsidRDefault="00986415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3AE96F39" w14:textId="62E33EFC" w:rsidR="007D3FD0" w:rsidRPr="009847C1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7D3FD0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7D3FD0">
        <w:rPr>
          <w:rFonts w:ascii="Times New Roman" w:eastAsia="Newton-Regular" w:hAnsi="Times New Roman" w:cs="Times New Roman"/>
          <w:sz w:val="24"/>
          <w:szCs w:val="24"/>
          <w:lang w:val="ru-RU"/>
        </w:rPr>
        <w:t>ложь, введение в заблуждение, криминалистическое</w:t>
      </w:r>
      <w:r w:rsidR="009847C1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9847C1">
        <w:rPr>
          <w:rFonts w:ascii="Times New Roman" w:eastAsia="Newton-Regular" w:hAnsi="Times New Roman" w:cs="Times New Roman"/>
          <w:sz w:val="24"/>
          <w:szCs w:val="24"/>
          <w:lang w:val="ru-RU"/>
        </w:rPr>
        <w:t>познание, тактика расследования.</w:t>
      </w:r>
    </w:p>
    <w:p w14:paraId="2EEF513F" w14:textId="77777777" w:rsidR="009847C1" w:rsidRDefault="009847C1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7B4233FD" w14:textId="799F3F1F" w:rsidR="007D3FD0" w:rsidRPr="007D3FD0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From the standpoint of the system-activity approach, the place of lie in the structure</w:t>
      </w:r>
      <w:r w:rsidR="009847C1" w:rsidRPr="009847C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of forensic cognition was considered. The first of two related articles explores the characteristics</w:t>
      </w:r>
      <w:r w:rsidR="009847C1" w:rsidRPr="009847C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of lying as the object of forensic cognition. According to the concept of a lie as</w:t>
      </w:r>
      <w:r w:rsidR="009847C1" w:rsidRPr="009847C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a communication of information, committed in order to mislead someone, the dynamic</w:t>
      </w:r>
      <w:r w:rsidR="009847C1" w:rsidRPr="009847C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structure of forensic knowledge was analyzed. The author concluded that the study of a</w:t>
      </w:r>
      <w:r w:rsidR="009847C1" w:rsidRPr="009847C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lie in the process of this activity can pursue the task of proving the circumstances of the</w:t>
      </w:r>
      <w:r w:rsidR="009847C1" w:rsidRPr="009847C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commission of a lie, as well as overcoming it.</w:t>
      </w:r>
    </w:p>
    <w:p w14:paraId="21237CE0" w14:textId="77777777" w:rsidR="009847C1" w:rsidRDefault="009847C1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37468A83" w14:textId="6D4592F4" w:rsidR="007D3FD0" w:rsidRPr="007D3FD0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D3FD0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7D3FD0">
        <w:rPr>
          <w:rFonts w:ascii="Times New Roman" w:eastAsia="Newton-Regular" w:hAnsi="Times New Roman" w:cs="Times New Roman"/>
          <w:sz w:val="24"/>
          <w:szCs w:val="24"/>
        </w:rPr>
        <w:t>lies, deception, forensic cognition, investigation tactics.</w:t>
      </w:r>
    </w:p>
    <w:p w14:paraId="15400413" w14:textId="77777777" w:rsidR="009847C1" w:rsidRDefault="009847C1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C9B74D0" w14:textId="453B180A" w:rsidR="007D3FD0" w:rsidRPr="007D3FD0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7D3F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Д.С. Денисов,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ассистент кафедры истории государства и права юридического факультета МГУ</w:t>
      </w:r>
    </w:p>
    <w:p w14:paraId="72A697C7" w14:textId="77777777" w:rsidR="009847C1" w:rsidRDefault="009847C1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A701BD2" w14:textId="7BA106D1" w:rsidR="007D3FD0" w:rsidRPr="007D3FD0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3FD0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Развитие суверенного иммунитета</w:t>
      </w:r>
      <w:r w:rsidR="009847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3F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Великобритании в конце </w:t>
      </w:r>
      <w:r w:rsidRPr="007D3FD0"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Pr="007D3F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— начале </w:t>
      </w:r>
      <w:r w:rsidRPr="007D3FD0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Pr="007D3F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в.</w:t>
      </w:r>
    </w:p>
    <w:p w14:paraId="3F8592F2" w14:textId="6B8F6A3F" w:rsidR="007D3FD0" w:rsidRPr="007D3FD0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FD0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7D3FD0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>статья</w:t>
      </w:r>
      <w:proofErr w:type="spellEnd"/>
      <w:r w:rsidRPr="007D3FD0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D3FD0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>третья</w:t>
      </w:r>
      <w:proofErr w:type="spellEnd"/>
      <w:r w:rsidRPr="007D3F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0699BA8" w14:textId="77777777" w:rsidR="009847C1" w:rsidRDefault="009847C1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6A967E58" w14:textId="38445573" w:rsidR="007D3FD0" w:rsidRPr="007D3FD0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Настоящая статья продолжает цикл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работ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об эволюции суверенного иммунитета в английском праве.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Автор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приходит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к выводу о возникшем парадоксе</w:t>
      </w:r>
      <w:r w:rsidR="009847C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между абсолютным суверенным иммунитетом и принципом справедливого судебного разбирательства в английском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праве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приведшем к изменению толкования принципа «король не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может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совершить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правонарушение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». Для сохранения</w:t>
      </w:r>
      <w:r w:rsidR="009847C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фундаментальных основ британской конституции специально был разработан</w:t>
      </w:r>
      <w:r w:rsidR="009847C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Акт об исках к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короне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1947 г., который предусматривал основания инициирования судебных споров в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отношении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британского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суверена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В статье при рассмотрении Акта об исках к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Короне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судебных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прецедентов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«Зэ Порто Александре»</w:t>
      </w:r>
      <w:r w:rsidR="009847C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(1920) и «Зэ Филиппин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Эдмирал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» (1973) также затрагиваются причины перехода к ограничительной модели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суверенного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иммунитета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73C3A92B" w14:textId="77777777" w:rsidR="009847C1" w:rsidRDefault="009847C1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307B2A83" w14:textId="1BFF2E2F" w:rsidR="007D3FD0" w:rsidRPr="009847C1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7D3FD0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суверенный иммунитет, юрисдикционный иммунитет, абсолютный иммунитет, функциональный иммунитет, Великобритания, консти</w:t>
      </w:r>
      <w:r w:rsidRPr="009847C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туция</w:t>
      </w:r>
      <w:r w:rsidRPr="009847C1">
        <w:rPr>
          <w:rFonts w:ascii="Times New Roman" w:eastAsia="Newton-Regular" w:hAnsi="Times New Roman" w:cs="Times New Roman"/>
          <w:sz w:val="24"/>
          <w:szCs w:val="24"/>
          <w:lang w:val="ru-RU"/>
        </w:rPr>
        <w:t>.</w:t>
      </w:r>
    </w:p>
    <w:p w14:paraId="14E3D397" w14:textId="77777777" w:rsidR="009847C1" w:rsidRDefault="009847C1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4B8C8275" w14:textId="717B3B3B" w:rsidR="007D3FD0" w:rsidRPr="007D3FD0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extends the cycle of works on the problem of sovereign immunity in English</w:t>
      </w:r>
      <w:r w:rsidR="009847C1" w:rsidRPr="009847C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law. The author assumes that vagueness between absolute sovereign immunity doctrine</w:t>
      </w:r>
      <w:r w:rsidR="009847C1" w:rsidRPr="009847C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and due process in English law leads to the change of interpretation of “The King</w:t>
      </w:r>
      <w:r w:rsidR="009847C1" w:rsidRPr="009847C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Can Do No Wrong” doctrine. The Crown Proceedings Act 1947 was adopted in order to</w:t>
      </w:r>
      <w:r w:rsidR="009847C1" w:rsidRPr="009847C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preserve the fundamental principles of the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lastRenderedPageBreak/>
        <w:t>British constitution and implement separate</w:t>
      </w:r>
      <w:r w:rsidR="009847C1" w:rsidRPr="009847C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grounds for claims against the British sovereign. This part of the research reveals why</w:t>
      </w:r>
      <w:r w:rsidR="009847C1" w:rsidRPr="009847C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the absolute doctrine of sovereign immunity was replaced by a restrictive approach in the</w:t>
      </w:r>
      <w:r w:rsidR="009847C1" w:rsidRPr="009847C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light of adoption of The Crown Proceedings Act and judicial review in The Porto Alexandre</w:t>
      </w:r>
      <w:r w:rsidR="009847C1" w:rsidRPr="009847C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(1920) and The Philippine Admiral (1973) precedents.</w:t>
      </w:r>
    </w:p>
    <w:p w14:paraId="4820DA9E" w14:textId="77777777" w:rsidR="009847C1" w:rsidRDefault="009847C1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6CAFBE50" w14:textId="6A02E346" w:rsidR="007D3FD0" w:rsidRPr="007D3FD0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D3FD0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7D3FD0">
        <w:rPr>
          <w:rFonts w:ascii="Times New Roman" w:eastAsia="Newton-Regular" w:hAnsi="Times New Roman" w:cs="Times New Roman"/>
          <w:sz w:val="24"/>
          <w:szCs w:val="24"/>
        </w:rPr>
        <w:t>sovereign immunity, jurisdictional immunity, absolute immunity,</w:t>
      </w:r>
      <w:r w:rsidR="009847C1" w:rsidRPr="009847C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7D3FD0">
        <w:rPr>
          <w:rFonts w:ascii="Times New Roman" w:eastAsia="Newton-Regular" w:hAnsi="Times New Roman" w:cs="Times New Roman"/>
          <w:sz w:val="24"/>
          <w:szCs w:val="24"/>
        </w:rPr>
        <w:t>restrictive immunity, United Kingdom, constitution.</w:t>
      </w:r>
    </w:p>
    <w:p w14:paraId="26034B78" w14:textId="77777777" w:rsidR="009847C1" w:rsidRDefault="009847C1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92D26C0" w14:textId="049A75B3" w:rsidR="007D3FD0" w:rsidRPr="009847C1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7D3FD0">
        <w:rPr>
          <w:rFonts w:ascii="Times New Roman" w:hAnsi="Times New Roman" w:cs="Times New Roman"/>
          <w:b/>
          <w:bCs/>
          <w:sz w:val="24"/>
          <w:szCs w:val="24"/>
          <w:lang w:val="ru-RU"/>
        </w:rPr>
        <w:t>И.В. Палиенко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, аспирант кафедры правового обеспечения рыночной</w:t>
      </w:r>
      <w:r w:rsidR="009847C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экономики Института государственной службы и управления РАНХиГС</w:t>
      </w:r>
      <w:r w:rsidR="009847C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при Президенте РФ</w:t>
      </w:r>
    </w:p>
    <w:p w14:paraId="46FB320D" w14:textId="77777777" w:rsidR="009847C1" w:rsidRDefault="009847C1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F6B571C" w14:textId="2155E850" w:rsidR="007D3FD0" w:rsidRPr="009847C1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3FD0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Исключение из принципа относительности</w:t>
      </w:r>
      <w:r w:rsidR="009847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47C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обязательственного правоотношения</w:t>
      </w:r>
    </w:p>
    <w:p w14:paraId="4DF497CE" w14:textId="77777777" w:rsidR="009847C1" w:rsidRDefault="009847C1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4D56CEEC" w14:textId="03D84A4C" w:rsidR="007D3FD0" w:rsidRPr="007D3FD0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Статья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посвящена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разделению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категорий «абсолютность» и «относительность» в теории правоотношений.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Основная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цель такого деления обусловлена наличием существования социально значимых отношений, складывающихся</w:t>
      </w:r>
      <w:r w:rsidR="009847C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первом случае (абсолютные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права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)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между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конкретным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лицом и иными лицами,</w:t>
      </w:r>
      <w:r w:rsidR="009847C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во втором (относительные права) —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между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конкретными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лицами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В результате автор приходит к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выводу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что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относительное правоотношение не исчерпывается в своем действии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между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непосредственными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участниками, но и имеет</w:t>
      </w:r>
      <w:r w:rsidR="009847C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некий «абсолютный» эффект в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отношении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других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лиц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6FB45267" w14:textId="77777777" w:rsidR="009847C1" w:rsidRDefault="009847C1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4A81E964" w14:textId="2EC3E983" w:rsidR="007D3FD0" w:rsidRPr="009847C1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7D3FD0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>Ключевые слова</w:t>
      </w:r>
      <w:r w:rsidRPr="007D3FD0">
        <w:rPr>
          <w:rFonts w:ascii="Times New Roman" w:eastAsia="Newton-Italic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7D3FD0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обязательство, относительные права, абсолютные права, чисто экономические убытки, </w:t>
      </w:r>
      <w:proofErr w:type="spellStart"/>
      <w:r w:rsidRPr="007D3FD0">
        <w:rPr>
          <w:rFonts w:ascii="Times New Roman" w:eastAsia="Newton-Regular" w:hAnsi="Times New Roman" w:cs="Times New Roman"/>
          <w:sz w:val="24"/>
          <w:szCs w:val="24"/>
          <w:lang w:val="ru-RU"/>
        </w:rPr>
        <w:t>интервенция</w:t>
      </w:r>
      <w:proofErr w:type="spellEnd"/>
      <w:r w:rsidRPr="007D3FD0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D3FD0">
        <w:rPr>
          <w:rFonts w:ascii="Times New Roman" w:eastAsia="Newton-Regular" w:hAnsi="Times New Roman" w:cs="Times New Roman"/>
          <w:sz w:val="24"/>
          <w:szCs w:val="24"/>
          <w:lang w:val="ru-RU"/>
        </w:rPr>
        <w:t>договорные</w:t>
      </w:r>
      <w:proofErr w:type="spellEnd"/>
      <w:r w:rsidRPr="007D3FD0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D3FD0">
        <w:rPr>
          <w:rFonts w:ascii="Times New Roman" w:eastAsia="Newton-Regular" w:hAnsi="Times New Roman" w:cs="Times New Roman"/>
          <w:sz w:val="24"/>
          <w:szCs w:val="24"/>
          <w:lang w:val="ru-RU"/>
        </w:rPr>
        <w:t>отношения</w:t>
      </w:r>
      <w:proofErr w:type="spellEnd"/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77E685F1" w14:textId="77777777" w:rsidR="009847C1" w:rsidRDefault="009847C1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345164FC" w14:textId="19A87A00" w:rsidR="007D3FD0" w:rsidRPr="007D3FD0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is devoted to the division of the categories "absoluteness" and "relativity"</w:t>
      </w:r>
      <w:r w:rsidR="009847C1" w:rsidRPr="009847C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in the theory of legal relations. In our opinion, the main purpose of such division</w:t>
      </w:r>
      <w:r w:rsidR="009847C1" w:rsidRPr="009847C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arises from the existence of socially significant relationships that develop, in the first case</w:t>
      </w:r>
      <w:r w:rsidR="009847C1" w:rsidRPr="009847C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(absolute rights), between a particular person and other persons, in the second (relative</w:t>
      </w:r>
      <w:r w:rsidR="009847C1" w:rsidRPr="009847C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rights) — between specific persons. As a result, the author concludes, that the relative</w:t>
      </w:r>
      <w:r w:rsidR="009847C1" w:rsidRPr="009847C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legal relationship is not exhausted in its action between direct participants, but to some</w:t>
      </w:r>
      <w:r w:rsidR="009847C1" w:rsidRPr="009847C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</w:rPr>
        <w:t>extent has an “absolute” effect in relation to other persons.</w:t>
      </w:r>
    </w:p>
    <w:p w14:paraId="60FDD017" w14:textId="77777777" w:rsidR="009847C1" w:rsidRDefault="009847C1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1CEFE87D" w14:textId="18DA90E7" w:rsidR="007D3FD0" w:rsidRPr="007D3FD0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7D3FD0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>Keywords</w:t>
      </w:r>
      <w:r w:rsidRPr="007D3FD0">
        <w:rPr>
          <w:rFonts w:ascii="Times New Roman" w:eastAsia="Newton-Italic" w:hAnsi="Times New Roman" w:cs="Times New Roman"/>
          <w:b/>
          <w:bCs/>
          <w:sz w:val="24"/>
          <w:szCs w:val="24"/>
        </w:rPr>
        <w:t xml:space="preserve">: </w:t>
      </w:r>
      <w:r w:rsidRPr="007D3FD0">
        <w:rPr>
          <w:rFonts w:ascii="Times New Roman" w:eastAsia="Newton-Regular" w:hAnsi="Times New Roman" w:cs="Times New Roman"/>
          <w:sz w:val="24"/>
          <w:szCs w:val="24"/>
        </w:rPr>
        <w:t>obligation, relative rights, absolute rights, pure economic loss, interference</w:t>
      </w:r>
      <w:r w:rsidR="009847C1" w:rsidRPr="009847C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7D3FD0">
        <w:rPr>
          <w:rFonts w:ascii="Times New Roman" w:eastAsia="Newton-Regular" w:hAnsi="Times New Roman" w:cs="Times New Roman"/>
          <w:sz w:val="24"/>
          <w:szCs w:val="24"/>
        </w:rPr>
        <w:t>with contractual relations.</w:t>
      </w:r>
    </w:p>
    <w:p w14:paraId="531A9BE5" w14:textId="77777777" w:rsidR="009847C1" w:rsidRDefault="009847C1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48E2419E" w14:textId="13F5ADD6" w:rsidR="007D3FD0" w:rsidRPr="007D3FD0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7D3FD0">
        <w:rPr>
          <w:rFonts w:ascii="Times New Roman" w:eastAsia="Newton-Regular" w:hAnsi="Times New Roman" w:cs="Times New Roman"/>
          <w:sz w:val="24"/>
          <w:szCs w:val="24"/>
          <w:lang w:val="ru-RU"/>
        </w:rPr>
        <w:t>Научная жизнь</w:t>
      </w:r>
    </w:p>
    <w:p w14:paraId="24B561EE" w14:textId="77777777" w:rsidR="009847C1" w:rsidRDefault="009847C1" w:rsidP="0098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6D91349" w14:textId="13976460" w:rsidR="009847C1" w:rsidRPr="009847C1" w:rsidRDefault="009847C1" w:rsidP="0098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7D3FD0">
        <w:rPr>
          <w:rFonts w:ascii="Times New Roman" w:hAnsi="Times New Roman" w:cs="Times New Roman"/>
          <w:b/>
          <w:bCs/>
          <w:sz w:val="24"/>
          <w:szCs w:val="24"/>
          <w:lang w:val="ru-RU"/>
        </w:rPr>
        <w:t>Н.С. Малютин</w:t>
      </w:r>
      <w:r w:rsidRPr="007D3FD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, кандидат юридических наук, доцент кафедры конституционного и муниципального права юридического факультета МГУ</w:t>
      </w:r>
      <w:r w:rsidRPr="007D3FD0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3FFD214B" w14:textId="77777777" w:rsidR="009847C1" w:rsidRDefault="009847C1" w:rsidP="0098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1C0309A7" w14:textId="12EE8CCD" w:rsidR="007D3FD0" w:rsidRPr="009847C1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7D3FD0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Конституционная трансформация правовой</w:t>
      </w:r>
      <w:r w:rsidR="009847C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системы России</w:t>
      </w:r>
      <w:r w:rsidR="009847C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3FD0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(</w:t>
      </w:r>
      <w:r w:rsidRPr="007D3FD0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>обзор заседания секции «Юриспруденция» научной конференции</w:t>
      </w:r>
      <w:r w:rsidR="009847C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47C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«Ломоносовские чтения»)</w:t>
      </w:r>
    </w:p>
    <w:p w14:paraId="16BD9F67" w14:textId="043DEDFB" w:rsidR="007D3FD0" w:rsidRPr="009847C1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75BF8483" w14:textId="5C866FAB" w:rsidR="007D3FD0" w:rsidRPr="009847C1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47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Валентин Яковлевич </w:t>
      </w:r>
      <w:proofErr w:type="spellStart"/>
      <w:r w:rsidRPr="009847C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Колдин</w:t>
      </w:r>
      <w:proofErr w:type="spellEnd"/>
      <w:r w:rsidR="009847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47C1">
        <w:rPr>
          <w:rFonts w:ascii="Times New Roman" w:hAnsi="Times New Roman" w:cs="Times New Roman"/>
          <w:b/>
          <w:bCs/>
          <w:sz w:val="24"/>
          <w:szCs w:val="24"/>
          <w:lang w:val="ru-RU"/>
        </w:rPr>
        <w:t>(1925–2020)</w:t>
      </w:r>
    </w:p>
    <w:p w14:paraId="6861DFD8" w14:textId="77777777" w:rsidR="009847C1" w:rsidRDefault="009847C1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B5E3906" w14:textId="48F21021" w:rsidR="007D3FD0" w:rsidRPr="009847C1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47C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Людмила Тимофеевна Ульянова</w:t>
      </w:r>
      <w:r w:rsidR="009847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47C1">
        <w:rPr>
          <w:rFonts w:ascii="Times New Roman" w:hAnsi="Times New Roman" w:cs="Times New Roman"/>
          <w:b/>
          <w:bCs/>
          <w:sz w:val="24"/>
          <w:szCs w:val="24"/>
          <w:lang w:val="ru-RU"/>
        </w:rPr>
        <w:t>(1928–2020)</w:t>
      </w:r>
    </w:p>
    <w:p w14:paraId="007BA781" w14:textId="77777777" w:rsidR="009847C1" w:rsidRDefault="009847C1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35318CD" w14:textId="786283E6" w:rsidR="007D3FD0" w:rsidRPr="009847C1" w:rsidRDefault="007D3FD0" w:rsidP="007D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3FD0">
        <w:rPr>
          <w:rFonts w:ascii="Times New Roman" w:hAnsi="Times New Roman" w:cs="Times New Roman"/>
          <w:b/>
          <w:bCs/>
          <w:sz w:val="24"/>
          <w:szCs w:val="24"/>
          <w:lang w:val="ru-RU"/>
        </w:rPr>
        <w:t>Указатель статей и материалов, опубликованных в журнале</w:t>
      </w:r>
      <w:r w:rsidR="009847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3FD0">
        <w:rPr>
          <w:rFonts w:ascii="Times New Roman" w:hAnsi="Times New Roman" w:cs="Times New Roman"/>
          <w:b/>
          <w:bCs/>
          <w:sz w:val="24"/>
          <w:szCs w:val="24"/>
          <w:lang w:val="ru-RU"/>
        </w:rPr>
        <w:t>«Вестник Московского университета. Серия 11. Право» за 2020 г.</w:t>
      </w:r>
    </w:p>
    <w:p w14:paraId="525B4DA1" w14:textId="6406E3F4" w:rsidR="00CA22F0" w:rsidRPr="007D3FD0" w:rsidRDefault="00CA22F0" w:rsidP="006C0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2BD27A93" w14:textId="2A1CA859" w:rsidR="009028BD" w:rsidRPr="007D3FD0" w:rsidRDefault="009028BD" w:rsidP="0090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</w:p>
    <w:p w14:paraId="53903185" w14:textId="77777777" w:rsidR="00AE1612" w:rsidRPr="007D3FD0" w:rsidRDefault="00AE1612" w:rsidP="0090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</w:p>
    <w:p w14:paraId="739BCADD" w14:textId="77777777" w:rsidR="00AE1612" w:rsidRPr="007D3FD0" w:rsidRDefault="00AE1612" w:rsidP="0090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</w:p>
    <w:p w14:paraId="5132BF77" w14:textId="77777777" w:rsidR="00AE1612" w:rsidRPr="007D3FD0" w:rsidRDefault="00AE1612" w:rsidP="0090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</w:p>
    <w:p w14:paraId="3EE70D3C" w14:textId="77777777" w:rsidR="00AE1612" w:rsidRPr="007D3FD0" w:rsidRDefault="00AE1612" w:rsidP="0090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</w:p>
    <w:p w14:paraId="58AD89A8" w14:textId="77777777" w:rsidR="00AE1612" w:rsidRPr="007D3FD0" w:rsidRDefault="00AE1612" w:rsidP="0090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</w:p>
    <w:p w14:paraId="13928CD0" w14:textId="77777777" w:rsidR="00AE1612" w:rsidRPr="007D3FD0" w:rsidRDefault="00AE1612" w:rsidP="0090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</w:p>
    <w:p w14:paraId="042A7647" w14:textId="77777777" w:rsidR="00AE1612" w:rsidRPr="007D3FD0" w:rsidRDefault="00AE1612" w:rsidP="0090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</w:p>
    <w:p w14:paraId="33016FF4" w14:textId="46CAAC25" w:rsidR="009028BD" w:rsidRPr="00791605" w:rsidRDefault="009028BD" w:rsidP="0090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155167E6" w14:textId="77777777" w:rsidR="00952D98" w:rsidRPr="00791605" w:rsidRDefault="00952D98" w:rsidP="0090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A650422" w14:textId="77777777" w:rsidR="00952D98" w:rsidRPr="009028BD" w:rsidRDefault="00952D98" w:rsidP="0090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FA76710" w14:textId="77777777" w:rsidR="00952D98" w:rsidRPr="009028BD" w:rsidRDefault="00952D98" w:rsidP="0090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0814666" w14:textId="77777777" w:rsidR="00952D98" w:rsidRPr="009028BD" w:rsidRDefault="00952D98" w:rsidP="0090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45633B3" w14:textId="77777777" w:rsidR="00952D98" w:rsidRPr="009028BD" w:rsidRDefault="00952D98" w:rsidP="0090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F4778F0" w14:textId="77777777" w:rsidR="00952D98" w:rsidRPr="009028BD" w:rsidRDefault="00952D98" w:rsidP="0090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8762167" w14:textId="77777777" w:rsidR="00952D98" w:rsidRPr="009028BD" w:rsidRDefault="00952D98" w:rsidP="0090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EC95336" w14:textId="5CFCC4E7" w:rsidR="00202AE1" w:rsidRPr="005B30B4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5403B932" w14:textId="77777777" w:rsidR="00202AE1" w:rsidRPr="005B30B4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</w:p>
    <w:p w14:paraId="33A9150C" w14:textId="77777777" w:rsidR="00202AE1" w:rsidRPr="005B30B4" w:rsidRDefault="00202AE1" w:rsidP="005B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</w:p>
    <w:p w14:paraId="0F19390E" w14:textId="105B2D07" w:rsidR="00DA5D25" w:rsidRPr="005B30B4" w:rsidRDefault="00527666" w:rsidP="00DA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5B30B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09134D4C" w14:textId="289004B1" w:rsidR="00527666" w:rsidRPr="005B30B4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11AD1048" w14:textId="77777777" w:rsidR="00B8618C" w:rsidRPr="005B30B4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4303A95" w14:textId="39443614" w:rsidR="00F72381" w:rsidRPr="005B30B4" w:rsidRDefault="00F72381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72381" w:rsidRPr="005B30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ton-Regular">
    <w:altName w:val="Yu Gothic"/>
    <w:panose1 w:val="00000000000000000000"/>
    <w:charset w:val="80"/>
    <w:family w:val="roman"/>
    <w:notTrueType/>
    <w:pitch w:val="default"/>
    <w:sig w:usb0="00000201" w:usb1="09070000" w:usb2="00000010" w:usb3="00000000" w:csb0="000A0004" w:csb1="00000000"/>
  </w:font>
  <w:font w:name="Newton-Italic">
    <w:altName w:val="Yu Gothic"/>
    <w:panose1 w:val="00000000000000000000"/>
    <w:charset w:val="80"/>
    <w:family w:val="roman"/>
    <w:notTrueType/>
    <w:pitch w:val="default"/>
    <w:sig w:usb0="00000201" w:usb1="09070000" w:usb2="00000010" w:usb3="00000000" w:csb0="000A0004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ton-BoldItalic">
    <w:altName w:val="Yu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7D"/>
    <w:rsid w:val="000012EC"/>
    <w:rsid w:val="00011986"/>
    <w:rsid w:val="00020C44"/>
    <w:rsid w:val="00025DA7"/>
    <w:rsid w:val="00026E75"/>
    <w:rsid w:val="00040FAA"/>
    <w:rsid w:val="00041D9B"/>
    <w:rsid w:val="0004656D"/>
    <w:rsid w:val="000468D5"/>
    <w:rsid w:val="000575A3"/>
    <w:rsid w:val="00060BC5"/>
    <w:rsid w:val="00075C74"/>
    <w:rsid w:val="00094A79"/>
    <w:rsid w:val="000A5630"/>
    <w:rsid w:val="000B11F6"/>
    <w:rsid w:val="000B3344"/>
    <w:rsid w:val="000C368D"/>
    <w:rsid w:val="000D7D1A"/>
    <w:rsid w:val="00117044"/>
    <w:rsid w:val="00121AAA"/>
    <w:rsid w:val="00132FA1"/>
    <w:rsid w:val="00134125"/>
    <w:rsid w:val="001450AB"/>
    <w:rsid w:val="001628F7"/>
    <w:rsid w:val="00163605"/>
    <w:rsid w:val="00186181"/>
    <w:rsid w:val="001B351B"/>
    <w:rsid w:val="001C58F5"/>
    <w:rsid w:val="001F50D3"/>
    <w:rsid w:val="00200B4E"/>
    <w:rsid w:val="00202AE1"/>
    <w:rsid w:val="00204124"/>
    <w:rsid w:val="0021354D"/>
    <w:rsid w:val="0024680C"/>
    <w:rsid w:val="002554BF"/>
    <w:rsid w:val="002578E0"/>
    <w:rsid w:val="00276CA3"/>
    <w:rsid w:val="002917C7"/>
    <w:rsid w:val="002958C3"/>
    <w:rsid w:val="002972C0"/>
    <w:rsid w:val="002A43EF"/>
    <w:rsid w:val="002C56F1"/>
    <w:rsid w:val="002D15A8"/>
    <w:rsid w:val="002D2A2F"/>
    <w:rsid w:val="002D4A7C"/>
    <w:rsid w:val="002E48E4"/>
    <w:rsid w:val="002F1B6B"/>
    <w:rsid w:val="0031535D"/>
    <w:rsid w:val="00334CF7"/>
    <w:rsid w:val="0035538D"/>
    <w:rsid w:val="00366500"/>
    <w:rsid w:val="00366892"/>
    <w:rsid w:val="00366C5D"/>
    <w:rsid w:val="00395AA1"/>
    <w:rsid w:val="003C1349"/>
    <w:rsid w:val="003C1B4C"/>
    <w:rsid w:val="003C485A"/>
    <w:rsid w:val="003D349C"/>
    <w:rsid w:val="003E028C"/>
    <w:rsid w:val="003F4F93"/>
    <w:rsid w:val="00410E59"/>
    <w:rsid w:val="00412688"/>
    <w:rsid w:val="0041777B"/>
    <w:rsid w:val="00480682"/>
    <w:rsid w:val="00485066"/>
    <w:rsid w:val="004A3297"/>
    <w:rsid w:val="004E0064"/>
    <w:rsid w:val="004E63EA"/>
    <w:rsid w:val="00523270"/>
    <w:rsid w:val="0052501C"/>
    <w:rsid w:val="00527666"/>
    <w:rsid w:val="005379FA"/>
    <w:rsid w:val="00542501"/>
    <w:rsid w:val="00551CB4"/>
    <w:rsid w:val="00551DFF"/>
    <w:rsid w:val="00571F1F"/>
    <w:rsid w:val="005734A5"/>
    <w:rsid w:val="0057765B"/>
    <w:rsid w:val="005826A2"/>
    <w:rsid w:val="00587AC5"/>
    <w:rsid w:val="00591DC2"/>
    <w:rsid w:val="005B2726"/>
    <w:rsid w:val="005B30B4"/>
    <w:rsid w:val="005B5D42"/>
    <w:rsid w:val="005D07A8"/>
    <w:rsid w:val="005E23C8"/>
    <w:rsid w:val="00602221"/>
    <w:rsid w:val="0060720B"/>
    <w:rsid w:val="0062793D"/>
    <w:rsid w:val="00630E10"/>
    <w:rsid w:val="00654853"/>
    <w:rsid w:val="006666B4"/>
    <w:rsid w:val="006B0B3F"/>
    <w:rsid w:val="006B354F"/>
    <w:rsid w:val="006C0DCB"/>
    <w:rsid w:val="00700213"/>
    <w:rsid w:val="00702F94"/>
    <w:rsid w:val="007072EB"/>
    <w:rsid w:val="007102D2"/>
    <w:rsid w:val="00711F8E"/>
    <w:rsid w:val="007136F9"/>
    <w:rsid w:val="00722D26"/>
    <w:rsid w:val="00791605"/>
    <w:rsid w:val="00792819"/>
    <w:rsid w:val="0079686C"/>
    <w:rsid w:val="007B3A7A"/>
    <w:rsid w:val="007C357E"/>
    <w:rsid w:val="007D17F2"/>
    <w:rsid w:val="007D21D4"/>
    <w:rsid w:val="007D3FD0"/>
    <w:rsid w:val="007E660E"/>
    <w:rsid w:val="007F750C"/>
    <w:rsid w:val="00801C25"/>
    <w:rsid w:val="00815CFD"/>
    <w:rsid w:val="00821181"/>
    <w:rsid w:val="008225B5"/>
    <w:rsid w:val="00827557"/>
    <w:rsid w:val="00853D56"/>
    <w:rsid w:val="00885983"/>
    <w:rsid w:val="008A7E3E"/>
    <w:rsid w:val="008D620F"/>
    <w:rsid w:val="009028BD"/>
    <w:rsid w:val="00904493"/>
    <w:rsid w:val="00906029"/>
    <w:rsid w:val="00906B38"/>
    <w:rsid w:val="009151F1"/>
    <w:rsid w:val="00932E66"/>
    <w:rsid w:val="00934FCF"/>
    <w:rsid w:val="00952D98"/>
    <w:rsid w:val="00967529"/>
    <w:rsid w:val="00975A63"/>
    <w:rsid w:val="00976620"/>
    <w:rsid w:val="0097754B"/>
    <w:rsid w:val="009847C1"/>
    <w:rsid w:val="00986415"/>
    <w:rsid w:val="00993E1C"/>
    <w:rsid w:val="009961D9"/>
    <w:rsid w:val="009A7B6B"/>
    <w:rsid w:val="009B5E0D"/>
    <w:rsid w:val="009C2036"/>
    <w:rsid w:val="009E2CF3"/>
    <w:rsid w:val="00A15428"/>
    <w:rsid w:val="00A252D7"/>
    <w:rsid w:val="00AA12D9"/>
    <w:rsid w:val="00AA738C"/>
    <w:rsid w:val="00AA7723"/>
    <w:rsid w:val="00AD264E"/>
    <w:rsid w:val="00AE1612"/>
    <w:rsid w:val="00B138A6"/>
    <w:rsid w:val="00B33674"/>
    <w:rsid w:val="00B524F9"/>
    <w:rsid w:val="00B5284B"/>
    <w:rsid w:val="00B537D9"/>
    <w:rsid w:val="00B560CC"/>
    <w:rsid w:val="00B617CA"/>
    <w:rsid w:val="00B61BE9"/>
    <w:rsid w:val="00B8618C"/>
    <w:rsid w:val="00BB7690"/>
    <w:rsid w:val="00BC0727"/>
    <w:rsid w:val="00BD1558"/>
    <w:rsid w:val="00BF0337"/>
    <w:rsid w:val="00BF432B"/>
    <w:rsid w:val="00BF516C"/>
    <w:rsid w:val="00BF555A"/>
    <w:rsid w:val="00C22AE6"/>
    <w:rsid w:val="00C41462"/>
    <w:rsid w:val="00C520B7"/>
    <w:rsid w:val="00C77EE3"/>
    <w:rsid w:val="00C83DCB"/>
    <w:rsid w:val="00CA0B9E"/>
    <w:rsid w:val="00CA22F0"/>
    <w:rsid w:val="00CB53A7"/>
    <w:rsid w:val="00CE5D22"/>
    <w:rsid w:val="00CF5C46"/>
    <w:rsid w:val="00D1295B"/>
    <w:rsid w:val="00D2331A"/>
    <w:rsid w:val="00D369A1"/>
    <w:rsid w:val="00DA5D25"/>
    <w:rsid w:val="00DB141C"/>
    <w:rsid w:val="00DC3BFC"/>
    <w:rsid w:val="00DD4AFC"/>
    <w:rsid w:val="00DD59ED"/>
    <w:rsid w:val="00DE243F"/>
    <w:rsid w:val="00DE2B12"/>
    <w:rsid w:val="00DE552A"/>
    <w:rsid w:val="00E04B00"/>
    <w:rsid w:val="00E0538C"/>
    <w:rsid w:val="00E062CF"/>
    <w:rsid w:val="00E21BE2"/>
    <w:rsid w:val="00E4785A"/>
    <w:rsid w:val="00E75850"/>
    <w:rsid w:val="00E817FC"/>
    <w:rsid w:val="00EA31FB"/>
    <w:rsid w:val="00EA7167"/>
    <w:rsid w:val="00EB62E4"/>
    <w:rsid w:val="00EC3860"/>
    <w:rsid w:val="00EE0356"/>
    <w:rsid w:val="00EE0745"/>
    <w:rsid w:val="00F03D72"/>
    <w:rsid w:val="00F05828"/>
    <w:rsid w:val="00F26231"/>
    <w:rsid w:val="00F33421"/>
    <w:rsid w:val="00F4097D"/>
    <w:rsid w:val="00F40F87"/>
    <w:rsid w:val="00F43719"/>
    <w:rsid w:val="00F60067"/>
    <w:rsid w:val="00F66A22"/>
    <w:rsid w:val="00F72381"/>
    <w:rsid w:val="00FA2E1E"/>
    <w:rsid w:val="00FB4CA7"/>
    <w:rsid w:val="00FB7488"/>
    <w:rsid w:val="00FC141E"/>
    <w:rsid w:val="00FD6F0B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819C"/>
  <w15:chartTrackingRefBased/>
  <w15:docId w15:val="{DF07BD1C-9F27-44BE-98BE-9166B08F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F4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Mazurkov</dc:creator>
  <cp:keywords/>
  <dc:description/>
  <cp:lastModifiedBy>Tatiana</cp:lastModifiedBy>
  <cp:revision>12</cp:revision>
  <dcterms:created xsi:type="dcterms:W3CDTF">2020-07-28T03:35:00Z</dcterms:created>
  <dcterms:modified xsi:type="dcterms:W3CDTF">2021-01-10T00:45:00Z</dcterms:modified>
</cp:coreProperties>
</file>