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 один раз в два месяца</w:t>
      </w:r>
    </w:p>
    <w:p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79686C">
        <w:rPr>
          <w:rFonts w:ascii="Times New Roman" w:hAnsi="Times New Roman" w:cs="Times New Roman"/>
          <w:b/>
          <w:sz w:val="24"/>
          <w:szCs w:val="24"/>
        </w:rPr>
        <w:t>6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2018 • </w:t>
      </w:r>
      <w:r w:rsidR="0079686C">
        <w:rPr>
          <w:rFonts w:ascii="Times New Roman" w:hAnsi="Times New Roman" w:cs="Times New Roman"/>
          <w:b/>
          <w:sz w:val="24"/>
          <w:szCs w:val="24"/>
          <w:lang w:val="ru-RU"/>
        </w:rPr>
        <w:t>ноябрь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79686C">
        <w:rPr>
          <w:rFonts w:ascii="Times New Roman" w:hAnsi="Times New Roman" w:cs="Times New Roman"/>
          <w:b/>
          <w:sz w:val="24"/>
          <w:szCs w:val="24"/>
          <w:lang w:val="ru-RU"/>
        </w:rPr>
        <w:t>дека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>брь</w:t>
      </w: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688">
        <w:rPr>
          <w:rFonts w:ascii="Times New Roman" w:hAnsi="Times New Roman" w:cs="Times New Roman"/>
          <w:sz w:val="24"/>
          <w:szCs w:val="24"/>
          <w:lang w:val="ru-RU"/>
        </w:rPr>
        <w:t>Теоретические проблемы права</w:t>
      </w:r>
    </w:p>
    <w:p w:rsidR="0079686C" w:rsidRDefault="0079686C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7D17F2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В.В. </w:t>
      </w:r>
      <w:proofErr w:type="spellStart"/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>Момотов</w:t>
      </w:r>
      <w:proofErr w:type="spellEnd"/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профессор, Председатель</w:t>
      </w:r>
      <w:r w:rsidR="007D17F2"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Совета судей РФ, судья Верховного Суда РФ </w:t>
      </w:r>
    </w:p>
    <w:p w:rsidR="007D17F2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>Экономический анализ права в системе юридической</w:t>
      </w:r>
      <w:r w:rsidR="00276C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>методологии: сфера применения</w:t>
      </w:r>
    </w:p>
    <w:p w:rsidR="007D17F2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688" w:rsidRPr="00276CA3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В статье в качестве критерия применимости либо неприменимости метода экономического анализа права к тем или иным институтам предложен</w:t>
      </w:r>
      <w:r w:rsidR="000012EC"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правовой интерес. Показано, что к институтам, основанным на приоритете</w:t>
      </w:r>
      <w:r w:rsidR="000012EC"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частного интереса, может быть применен экономический анализ права, а к институтам, основанным на первенстве публичного интереса, этот метод применять следует с большой осторожностью. На примере конкретных правовых</w:t>
      </w:r>
      <w:r w:rsidR="00276CA3"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институтов проиллюстрировано различие в подходах континентально-европейской правовой системы, основанных на принципе справедливости, и подходах</w:t>
      </w:r>
      <w:r w:rsidR="00276CA3" w:rsidRPr="00276C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англо-американской семьи, основанных на принципе экономической эффективности. На основе метода экономического анализа права дана оценка возможным</w:t>
      </w:r>
    </w:p>
    <w:p w:rsidR="00412688" w:rsidRP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6CA3">
        <w:rPr>
          <w:rFonts w:ascii="Times New Roman" w:hAnsi="Times New Roman" w:cs="Times New Roman"/>
          <w:i/>
          <w:sz w:val="24"/>
          <w:szCs w:val="24"/>
          <w:lang w:val="ru-RU"/>
        </w:rPr>
        <w:t>путям совершенствования института государственной пошлины.</w:t>
      </w:r>
    </w:p>
    <w:p w:rsidR="007D17F2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688" w:rsidRPr="000012EC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412688">
        <w:rPr>
          <w:rFonts w:ascii="Times New Roman" w:hAnsi="Times New Roman" w:cs="Times New Roman"/>
          <w:sz w:val="24"/>
          <w:szCs w:val="24"/>
          <w:lang w:val="ru-RU"/>
        </w:rPr>
        <w:t>экономический анализ права, справедливость, целесообразность</w:t>
      </w:r>
      <w:r w:rsidRPr="000012E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12688">
        <w:rPr>
          <w:rFonts w:ascii="Times New Roman" w:hAnsi="Times New Roman" w:cs="Times New Roman"/>
          <w:sz w:val="24"/>
          <w:szCs w:val="24"/>
          <w:lang w:val="ru-RU"/>
        </w:rPr>
        <w:t>государственная</w:t>
      </w:r>
      <w:r w:rsidRPr="00001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2688">
        <w:rPr>
          <w:rFonts w:ascii="Times New Roman" w:hAnsi="Times New Roman" w:cs="Times New Roman"/>
          <w:sz w:val="24"/>
          <w:szCs w:val="24"/>
          <w:lang w:val="ru-RU"/>
        </w:rPr>
        <w:t>пошлина</w:t>
      </w:r>
      <w:r w:rsidRPr="000012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17F2" w:rsidRPr="000012EC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688" w:rsidRPr="000012EC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EC">
        <w:rPr>
          <w:rFonts w:ascii="Times New Roman" w:hAnsi="Times New Roman" w:cs="Times New Roman"/>
          <w:i/>
          <w:sz w:val="24"/>
          <w:szCs w:val="24"/>
        </w:rPr>
        <w:t>In the article, as a criterion for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the applicability or inapplicability of the method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of economic analysis of law to certain institutions, legal interest is proposed. It is shown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that an economic analysis of law can be applied to institutions based on the priority of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private interest, and to institutions based on the primacy of public interest, this method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should be used with great care. The example of specific legal institutions illustrates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difference in the approaches of the continental European legal system, based on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principle of justice, and the approaches of the Anglo-American family based on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 xml:space="preserve">principle of economic efficiency. </w:t>
      </w:r>
      <w:proofErr w:type="gramStart"/>
      <w:r w:rsidRPr="000012EC">
        <w:rPr>
          <w:rFonts w:ascii="Times New Roman" w:hAnsi="Times New Roman" w:cs="Times New Roman"/>
          <w:i/>
          <w:sz w:val="24"/>
          <w:szCs w:val="24"/>
        </w:rPr>
        <w:t>On the basis of</w:t>
      </w:r>
      <w:proofErr w:type="gramEnd"/>
      <w:r w:rsidRPr="000012EC">
        <w:rPr>
          <w:rFonts w:ascii="Times New Roman" w:hAnsi="Times New Roman" w:cs="Times New Roman"/>
          <w:i/>
          <w:sz w:val="24"/>
          <w:szCs w:val="24"/>
        </w:rPr>
        <w:t xml:space="preserve"> the method of economic analysis of law,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an assessment is given of possible ways to improve the institution of state duty.</w:t>
      </w:r>
    </w:p>
    <w:p w:rsidR="007D17F2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412688">
        <w:rPr>
          <w:rFonts w:ascii="Times New Roman" w:hAnsi="Times New Roman" w:cs="Times New Roman"/>
          <w:sz w:val="24"/>
          <w:szCs w:val="24"/>
        </w:rPr>
        <w:t xml:space="preserve"> economic analysis of law, fairness, expediency, state duty.</w:t>
      </w: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688" w:rsidRPr="007D17F2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Проблемы международного права</w:t>
      </w:r>
    </w:p>
    <w:p w:rsidR="007D17F2" w:rsidRDefault="007D17F2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26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П.П. Кремнев,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международного права юридического факультета МГУ</w:t>
      </w: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412688" w:rsidRDefault="00412688" w:rsidP="00412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Общепризнанные принципы общего</w:t>
      </w:r>
      <w:r w:rsid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международного права в системе</w:t>
      </w: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российского права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В настоящей публикации дан концептуально-теоретический анализ положений Конституции РФ об общепризнанных принципах и нормах международного права (п. 4 ст. 15), рассматривается содержание термина-понятия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«императивная норма международного права» (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jus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cogens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) и ее взаимосвязь с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обязательствами 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erga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omnes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, а также основа (основные источники) таких норм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и принципов. В статье приводятся перечень и краткое обоснование примерно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двадцати общепризнанных принципов и норм современного международного права и их иерархическое положение в системе российского права.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: общепризнанные принципы международного права,</w:t>
      </w:r>
      <w:r w:rsidR="00001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общее международное право, нормы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jus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cogens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, обязательства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erga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omnes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17F2" w:rsidRPr="000012EC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EC">
        <w:rPr>
          <w:rFonts w:ascii="Times New Roman" w:hAnsi="Times New Roman" w:cs="Times New Roman"/>
          <w:i/>
          <w:sz w:val="24"/>
          <w:szCs w:val="24"/>
        </w:rPr>
        <w:t>This publication provides a conceptual and theoretical analysis of the provisions of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the Constitution of the Russian Federation on generally recognized principles and norms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of international law (para 4 of art. 15), discusses the content of the term-the concept of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“peremptory norm of international law” (jus cogens) and its relationship with obligations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</w:rPr>
        <w:t>erga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</w:rPr>
        <w:t>omnes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</w:rPr>
        <w:t>, as well as the basis (main sources) of such norms and principles.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article provides a list and a brief justification of about 20 generally recognized principles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and norms of modern international law and their hierarchical position in the system of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Russian law.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827557">
        <w:rPr>
          <w:rFonts w:ascii="Times New Roman" w:hAnsi="Times New Roman" w:cs="Times New Roman"/>
          <w:sz w:val="24"/>
          <w:szCs w:val="24"/>
        </w:rPr>
        <w:t xml:space="preserve"> universally recognized principles of international law, general international</w:t>
      </w:r>
      <w:r w:rsidR="000012EC" w:rsidRPr="000012EC">
        <w:rPr>
          <w:rFonts w:ascii="Times New Roman" w:hAnsi="Times New Roman" w:cs="Times New Roman"/>
          <w:sz w:val="24"/>
          <w:szCs w:val="24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</w:rPr>
        <w:t xml:space="preserve">law, norms of jus cogens, obligations </w:t>
      </w:r>
      <w:proofErr w:type="spellStart"/>
      <w:r w:rsidRPr="00827557">
        <w:rPr>
          <w:rFonts w:ascii="Times New Roman" w:hAnsi="Times New Roman" w:cs="Times New Roman"/>
          <w:sz w:val="24"/>
          <w:szCs w:val="24"/>
        </w:rPr>
        <w:t>erga</w:t>
      </w:r>
      <w:proofErr w:type="spellEnd"/>
      <w:r w:rsidRPr="00827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557">
        <w:rPr>
          <w:rFonts w:ascii="Times New Roman" w:hAnsi="Times New Roman" w:cs="Times New Roman"/>
          <w:sz w:val="24"/>
          <w:szCs w:val="24"/>
        </w:rPr>
        <w:t>omnes</w:t>
      </w:r>
      <w:proofErr w:type="spellEnd"/>
      <w:r w:rsidRPr="00827557">
        <w:rPr>
          <w:rFonts w:ascii="Times New Roman" w:hAnsi="Times New Roman" w:cs="Times New Roman"/>
          <w:sz w:val="24"/>
          <w:szCs w:val="24"/>
        </w:rPr>
        <w:t>.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Проблемы частного права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Н.В. Козлова,</w:t>
      </w:r>
      <w:r w:rsidRPr="007D1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гражданского права юридического факультета МГУ</w:t>
      </w:r>
      <w:r w:rsidRPr="007D1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С.Ю. Филиппова,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кандидат юридических наук, доцент кафедры коммерческого права юридического факультета МГУ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Незаслуженно забытый? (К</w:t>
      </w:r>
      <w:r w:rsidRPr="00827557">
        <w:rPr>
          <w:rFonts w:ascii="Times New Roman" w:hAnsi="Times New Roman" w:cs="Times New Roman"/>
          <w:b/>
          <w:sz w:val="24"/>
          <w:szCs w:val="24"/>
        </w:rPr>
        <w:t> 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вопросу</w:t>
      </w:r>
      <w:r w:rsid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о правовом статусе</w:t>
      </w:r>
      <w:r w:rsid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производственного кооператива) 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Авторы статьи отвечают на вопрос, почему организационно-правовая форма производственного кооператива, получившая распространение в конце </w:t>
      </w:r>
      <w:r w:rsidRPr="000012EC">
        <w:rPr>
          <w:rFonts w:ascii="Times New Roman" w:hAnsi="Times New Roman" w:cs="Times New Roman"/>
          <w:i/>
          <w:sz w:val="24"/>
          <w:szCs w:val="24"/>
        </w:rPr>
        <w:t>XX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—начале </w:t>
      </w:r>
      <w:r w:rsidRPr="000012EC">
        <w:rPr>
          <w:rFonts w:ascii="Times New Roman" w:hAnsi="Times New Roman" w:cs="Times New Roman"/>
          <w:i/>
          <w:sz w:val="24"/>
          <w:szCs w:val="24"/>
        </w:rPr>
        <w:t>XXI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столетия, перестала быть востребованной на практике. По мнению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авторов, причиной является сама модель кооперативной организации, в рамках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которой правовое положение члена кооператива ухудшено по сравнению со статусом участника хозяйственного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товарищества или общества без предоставления каких-либо финансовых, налоговых и иных преференций.</w:t>
      </w:r>
    </w:p>
    <w:p w:rsidR="007D17F2" w:rsidRPr="000012EC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артель, артельное товарищество, производственный кооператив, член кооператива, исключение члена из производственного кооператива, пай, передача пая, выплаты при выходе (исключении) из кооператива.</w:t>
      </w:r>
    </w:p>
    <w:p w:rsidR="007D17F2" w:rsidRPr="000012EC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EC">
        <w:rPr>
          <w:rFonts w:ascii="Times New Roman" w:hAnsi="Times New Roman" w:cs="Times New Roman"/>
          <w:i/>
          <w:sz w:val="24"/>
          <w:szCs w:val="24"/>
        </w:rPr>
        <w:t>The article considers the legal form of production cooperative widely used at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end of the last century and now are no longer in force. According to authors the legal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status of cooperative’s member is much worse than the legal status of member of economic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society and the reason of it is the form of cooperative organization.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827557">
        <w:rPr>
          <w:rFonts w:ascii="Times New Roman" w:hAnsi="Times New Roman" w:cs="Times New Roman"/>
          <w:sz w:val="24"/>
          <w:szCs w:val="24"/>
        </w:rPr>
        <w:t>artel, artel association, production cooperative, member of cooperative,</w:t>
      </w:r>
      <w:r w:rsidR="000012EC" w:rsidRPr="000012EC">
        <w:rPr>
          <w:rFonts w:ascii="Times New Roman" w:hAnsi="Times New Roman" w:cs="Times New Roman"/>
          <w:sz w:val="24"/>
          <w:szCs w:val="24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</w:rPr>
        <w:t>exclusion of members of production cooperative, coop share, assignment of</w:t>
      </w:r>
      <w:r w:rsidR="000012EC" w:rsidRPr="000012EC">
        <w:rPr>
          <w:rFonts w:ascii="Times New Roman" w:hAnsi="Times New Roman" w:cs="Times New Roman"/>
          <w:sz w:val="24"/>
          <w:szCs w:val="24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</w:rPr>
        <w:t>interest, separation payments.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Проблемы экологического</w:t>
      </w:r>
      <w:r w:rsidR="007D17F2" w:rsidRPr="007D1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D17F2">
        <w:rPr>
          <w:rFonts w:ascii="Times New Roman" w:hAnsi="Times New Roman" w:cs="Times New Roman"/>
          <w:sz w:val="24"/>
          <w:szCs w:val="24"/>
        </w:rPr>
        <w:t> </w:t>
      </w:r>
      <w:r w:rsidRPr="007D17F2">
        <w:rPr>
          <w:rFonts w:ascii="Times New Roman" w:hAnsi="Times New Roman" w:cs="Times New Roman"/>
          <w:sz w:val="24"/>
          <w:szCs w:val="24"/>
          <w:lang w:val="ru-RU"/>
        </w:rPr>
        <w:t>земельного права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Е.В. Новикова,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доктор юридических наук, профессор кафедры экологического и земельного права юридического факультета МГУ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Экологическая безопасность:</w:t>
      </w:r>
      <w:r w:rsidR="0000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правовые подходы</w:t>
      </w:r>
      <w:r w:rsidR="0000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к управлению рисками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Несмотря на наличие достаточного комплекса экологических требований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в законодательстве РФ в области промышленной безопасности, уровень аварийности в целом остается очень высоким. В статье анализируются причины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такой ситуации и высказываются рекомендации. В частности, это неполнота информации, несовершенство технических норм, не-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экологизированность</w:t>
      </w:r>
      <w:proofErr w:type="spellEnd"/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законодательства о промышленной безопасности, смешение правовых режимов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экологической безопасности и нормальной хозяйственной деятельности и как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наиболее существенная причина — необходимость гармонизации отечественного законодательства и правоприменения с учетом наилучшей зарубежной практики управления рисками.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экологическая безопасность, техническая безопасность, аварийность, управление экологическими рисками, моделирование,</w:t>
      </w:r>
      <w:r w:rsidR="00001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лучшая практика, режим обычной хозяйственной деятельности,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нефтеразливы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17F2" w:rsidRPr="000012EC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EC">
        <w:rPr>
          <w:rFonts w:ascii="Times New Roman" w:hAnsi="Times New Roman" w:cs="Times New Roman"/>
          <w:i/>
          <w:sz w:val="24"/>
          <w:szCs w:val="24"/>
        </w:rPr>
        <w:t xml:space="preserve">Despite of existence of a </w:t>
      </w:r>
      <w:proofErr w:type="gramStart"/>
      <w:r w:rsidRPr="000012EC">
        <w:rPr>
          <w:rFonts w:ascii="Times New Roman" w:hAnsi="Times New Roman" w:cs="Times New Roman"/>
          <w:i/>
          <w:sz w:val="24"/>
          <w:szCs w:val="24"/>
        </w:rPr>
        <w:t>sufficient</w:t>
      </w:r>
      <w:proofErr w:type="gramEnd"/>
      <w:r w:rsidRPr="000012EC">
        <w:rPr>
          <w:rFonts w:ascii="Times New Roman" w:hAnsi="Times New Roman" w:cs="Times New Roman"/>
          <w:i/>
          <w:sz w:val="24"/>
          <w:szCs w:val="24"/>
        </w:rPr>
        <w:t xml:space="preserve"> set of environmental requirements in the legislation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of the Russian Federation in the area of industrial safety, the accident level in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general remains very high. The article analyzes the reasons for this situation and makes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 xml:space="preserve">recommendations. </w:t>
      </w:r>
      <w:proofErr w:type="gramStart"/>
      <w:r w:rsidRPr="000012EC">
        <w:rPr>
          <w:rFonts w:ascii="Times New Roman" w:hAnsi="Times New Roman" w:cs="Times New Roman"/>
          <w:i/>
          <w:sz w:val="24"/>
          <w:szCs w:val="24"/>
        </w:rPr>
        <w:t>In particular, these</w:t>
      </w:r>
      <w:proofErr w:type="gramEnd"/>
      <w:r w:rsidRPr="000012EC">
        <w:rPr>
          <w:rFonts w:ascii="Times New Roman" w:hAnsi="Times New Roman" w:cs="Times New Roman"/>
          <w:i/>
          <w:sz w:val="24"/>
          <w:szCs w:val="24"/>
        </w:rPr>
        <w:t xml:space="preserve"> are incompleteness of information about environmental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incidents, emergency situations, imperfection of technical norms, “non-</w:t>
      </w:r>
      <w:proofErr w:type="spellStart"/>
      <w:r w:rsidRPr="000012EC">
        <w:rPr>
          <w:rFonts w:ascii="Times New Roman" w:hAnsi="Times New Roman" w:cs="Times New Roman"/>
          <w:i/>
          <w:sz w:val="24"/>
          <w:szCs w:val="24"/>
        </w:rPr>
        <w:t>ecologization</w:t>
      </w:r>
      <w:proofErr w:type="spellEnd"/>
      <w:r w:rsidRPr="000012EC">
        <w:rPr>
          <w:rFonts w:ascii="Times New Roman" w:hAnsi="Times New Roman" w:cs="Times New Roman"/>
          <w:i/>
          <w:sz w:val="24"/>
          <w:szCs w:val="24"/>
        </w:rPr>
        <w:t>”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of legislation of industrial safety, confusion of legal regimes of environmental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safety and of normal routine operation, and, as the most significant reason — the need to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harmonize domestic legislation and law enforcement with the best foreign risk management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practices.</w:t>
      </w:r>
    </w:p>
    <w:p w:rsidR="007D17F2" w:rsidRPr="000012EC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Keywords: </w:t>
      </w:r>
      <w:r w:rsidRPr="00827557">
        <w:rPr>
          <w:rFonts w:ascii="Times New Roman" w:hAnsi="Times New Roman" w:cs="Times New Roman"/>
          <w:sz w:val="24"/>
          <w:szCs w:val="24"/>
        </w:rPr>
        <w:t>environmental safety, technical safety, accidents, environmental risk</w:t>
      </w:r>
      <w:r w:rsidR="000012EC" w:rsidRPr="000012EC">
        <w:rPr>
          <w:rFonts w:ascii="Times New Roman" w:hAnsi="Times New Roman" w:cs="Times New Roman"/>
          <w:sz w:val="24"/>
          <w:szCs w:val="24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</w:rPr>
        <w:t>management, modeling, best practice, emergency, normal routine operation, oil spills.</w:t>
      </w: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 и</w:t>
      </w:r>
      <w:r w:rsidR="007D17F2" w:rsidRPr="00001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sz w:val="24"/>
          <w:szCs w:val="24"/>
          <w:lang w:val="ru-RU"/>
        </w:rPr>
        <w:t>муниципального права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Л.А. Шарнина,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кандидат юридических наук, советник Аппарата Совета Федерации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Усмотрение в конституционном праве:</w:t>
      </w:r>
      <w:r w:rsidR="0000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границы между допустимым средством</w:t>
      </w: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упорядочения общественных отношений</w:t>
      </w:r>
      <w:r w:rsidR="000012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b/>
          <w:sz w:val="24"/>
          <w:szCs w:val="24"/>
          <w:lang w:val="ru-RU"/>
        </w:rPr>
        <w:t>и правовым дефектом</w:t>
      </w: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В статье рассмотрена объективная природа феномена правовой неопределенности и особенности ее восполнения путем наделения дискрецией органов</w:t>
      </w:r>
      <w:r w:rsidR="000012EC"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власти и должностных лиц, а также исследованы дефекты нормативного закрепления усмотрения, являющиеся следствием неразвитости или ошибочности</w:t>
      </w:r>
      <w:r w:rsidR="000012EC"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конституционной теории либо намеренного нарушения установленных запретов</w:t>
      </w:r>
      <w:r w:rsidR="000012EC"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и ограничений для достижения политических, личных или иных целей. Определены нормативные и объективные пределы усмотрения и виды дефектов реализации усмотрения, связанные с их нарушением.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правовая неопределенность, пробел в праве, усмотрение, дискреционные полномочия, пределы усмотрения, злоупотребления</w:t>
      </w:r>
      <w:r w:rsidR="00001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sz w:val="24"/>
          <w:szCs w:val="24"/>
          <w:lang w:val="ru-RU"/>
        </w:rPr>
        <w:t>дискреционными полномочиями, правовой произвол.</w:t>
      </w: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2EC">
        <w:rPr>
          <w:rFonts w:ascii="Times New Roman" w:hAnsi="Times New Roman" w:cs="Times New Roman"/>
          <w:i/>
          <w:sz w:val="24"/>
          <w:szCs w:val="24"/>
        </w:rPr>
        <w:t>The author of the article considers the objective nature of the phenomenon of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legal uncertainty and its replenishment by giving discretionary powers of the authorities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and investigates the defects in the regulatory consolidation of discretion, which is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a consequence of the underdeveloped or erroneous constitutional theory or intentional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violations of the prohibitions and restrictions to achieve political, personal, or other purposes.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Explores legal and objective limits of the discretion and the types of defects the</w:t>
      </w:r>
      <w:r w:rsidR="000012EC" w:rsidRPr="000012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</w:rPr>
        <w:t>implementation of the discretion associated with their violation.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P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EC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7D17F2">
        <w:rPr>
          <w:rFonts w:ascii="Times New Roman" w:hAnsi="Times New Roman" w:cs="Times New Roman"/>
          <w:sz w:val="24"/>
          <w:szCs w:val="24"/>
        </w:rPr>
        <w:t>legal uncertainty, gap in law, discretion, discretionary</w:t>
      </w:r>
      <w:r w:rsidRPr="007D17F2">
        <w:rPr>
          <w:rFonts w:ascii="Times New Roman" w:hAnsi="Times New Roman" w:cs="Times New Roman"/>
          <w:sz w:val="24"/>
          <w:szCs w:val="24"/>
        </w:rPr>
        <w:t xml:space="preserve"> </w:t>
      </w:r>
      <w:r w:rsidRPr="007D17F2">
        <w:rPr>
          <w:rFonts w:ascii="Times New Roman" w:hAnsi="Times New Roman" w:cs="Times New Roman"/>
          <w:sz w:val="24"/>
          <w:szCs w:val="24"/>
        </w:rPr>
        <w:t>powers, limits</w:t>
      </w:r>
      <w:r w:rsidR="000012EC" w:rsidRPr="000012EC">
        <w:rPr>
          <w:rFonts w:ascii="Times New Roman" w:hAnsi="Times New Roman" w:cs="Times New Roman"/>
          <w:sz w:val="24"/>
          <w:szCs w:val="24"/>
        </w:rPr>
        <w:t xml:space="preserve"> </w:t>
      </w:r>
      <w:r w:rsidRPr="007D17F2">
        <w:rPr>
          <w:rFonts w:ascii="Times New Roman" w:hAnsi="Times New Roman" w:cs="Times New Roman"/>
          <w:sz w:val="24"/>
          <w:szCs w:val="24"/>
        </w:rPr>
        <w:t>of the discretion, misuse of discretionary powers, legal lawlessness.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</w:t>
      </w:r>
      <w:r w:rsidR="007D17F2" w:rsidRPr="007D1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sz w:val="24"/>
          <w:szCs w:val="24"/>
          <w:lang w:val="ru-RU"/>
        </w:rPr>
        <w:t>и процесса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12EC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Е.Г. Быкова,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кандидат юридических наук, доцент кафедры уголовного права второго факультета повышения квалификации (с дислокацией в г. Екатеринбург) Института повышения квалификации ФГКОУ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ВО «Московская академия Следственного комитета Российской Федераци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С.А. Яшков,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доцент, заведующий кафедрой уголовного права второго факультета повышения квалификации</w:t>
      </w:r>
      <w:r w:rsidR="000012EC"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0012E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 дислокацией в г. Екатеринбург) Института повышения квалификации ФГКОУ ВО «Московская академия Следственного комитета Российской Федерации 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О возможности правовой оценки</w:t>
      </w:r>
      <w:r w:rsid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некачественного оказания медицинских</w:t>
      </w:r>
      <w:r w:rsid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услуг, повлекшего смерть пациента,</w:t>
      </w:r>
      <w:r w:rsid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по ст. 238 УК РФ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Статья посвящена особенностям правовой оценки наступления смерти пациента в результате некачественно оказанной медицинской услуги по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ст. 238 УК РФ и разграничению указанного состава преступления с ч. 2 ст. 109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УК РФ.</w:t>
      </w:r>
    </w:p>
    <w:p w:rsidR="007D17F2" w:rsidRPr="007102D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услуга, медицинская услуга, медицинская помощь, требования безопасности, потребитель, пациент, умысел, неосторожность, преступление</w:t>
      </w:r>
      <w:r w:rsidRPr="00710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17F2" w:rsidRPr="007102D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i/>
          <w:sz w:val="24"/>
          <w:szCs w:val="24"/>
        </w:rPr>
        <w:t>The article is devoted to the peculiarities of the legal assessment of the death of a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patient as a result of poorly provided medical services under art. 238 of the Criminal Code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of the Russian Federation and the delineation of this crime from Part 2 of Art. 109 of the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Criminal Code.</w:t>
      </w:r>
    </w:p>
    <w:p w:rsidR="007D17F2" w:rsidRPr="007102D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827557">
        <w:rPr>
          <w:rFonts w:ascii="Times New Roman" w:hAnsi="Times New Roman" w:cs="Times New Roman"/>
          <w:sz w:val="24"/>
          <w:szCs w:val="24"/>
        </w:rPr>
        <w:t xml:space="preserve"> service, medical service, medical aid, safety requirements, consumer,</w:t>
      </w:r>
      <w:r w:rsidR="007102D2" w:rsidRPr="007102D2">
        <w:rPr>
          <w:rFonts w:ascii="Times New Roman" w:hAnsi="Times New Roman" w:cs="Times New Roman"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sz w:val="24"/>
          <w:szCs w:val="24"/>
        </w:rPr>
        <w:t>patient, intent, negligence, crime.</w:t>
      </w: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Информатика и право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С.В. </w:t>
      </w:r>
      <w:proofErr w:type="spellStart"/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Гландин</w:t>
      </w:r>
      <w:proofErr w:type="spellEnd"/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ассистент кафедры международного права юридического факультета МГУ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7D17F2" w:rsidRPr="007D17F2">
        <w:rPr>
          <w:rFonts w:ascii="Times New Roman" w:hAnsi="Times New Roman" w:cs="Times New Roman"/>
          <w:b/>
          <w:sz w:val="24"/>
          <w:szCs w:val="24"/>
          <w:lang w:val="ru-RU"/>
        </w:rPr>
        <w:t>оль Интернета в отслеживании нарушителей режима</w:t>
      </w:r>
      <w:r w:rsid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D17F2" w:rsidRPr="007D17F2">
        <w:rPr>
          <w:rFonts w:ascii="Times New Roman" w:hAnsi="Times New Roman" w:cs="Times New Roman"/>
          <w:b/>
          <w:sz w:val="24"/>
          <w:szCs w:val="24"/>
          <w:lang w:val="ru-RU"/>
        </w:rPr>
        <w:t>санкций США в отношении России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В статье исследуется вопрос о значении информационно-телекоммуникационной сети Интернет для составления санкционных списков и администрировании санкционных режимов США. Автор дает рекомендации российским юридическим и физическим лицам, не желающим попасть под санкции США.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Ключевые слова: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Интернет, санкции, ограничительные меры, Управление по контролю за иностранными активами, нарушитель режима санкций,</w:t>
      </w:r>
      <w:r w:rsidR="0071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оспаривание</w:t>
      </w:r>
      <w:r w:rsidRPr="0071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>санкций</w:t>
      </w:r>
      <w:r w:rsidR="007102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D17F2" w:rsidRPr="007102D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D2">
        <w:rPr>
          <w:rFonts w:ascii="Times New Roman" w:hAnsi="Times New Roman" w:cs="Times New Roman"/>
          <w:i/>
          <w:sz w:val="24"/>
          <w:szCs w:val="24"/>
        </w:rPr>
        <w:t>The article gives insight</w:t>
      </w:r>
      <w:r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on how the Internet get the principal working tool in both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designation under sanction program and administration of US sanctions regimes. At the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same time, the article contains conclusions on what Russian legal entities and individuals,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 xml:space="preserve">who do not want to be designated, should </w:t>
      </w:r>
      <w:proofErr w:type="gramStart"/>
      <w:r w:rsidRPr="007102D2">
        <w:rPr>
          <w:rFonts w:ascii="Times New Roman" w:hAnsi="Times New Roman" w:cs="Times New Roman"/>
          <w:i/>
          <w:sz w:val="24"/>
          <w:szCs w:val="24"/>
        </w:rPr>
        <w:t>take into account</w:t>
      </w:r>
      <w:proofErr w:type="gramEnd"/>
      <w:r w:rsidRPr="007102D2">
        <w:rPr>
          <w:rFonts w:ascii="Times New Roman" w:hAnsi="Times New Roman" w:cs="Times New Roman"/>
          <w:i/>
          <w:sz w:val="24"/>
          <w:szCs w:val="24"/>
        </w:rPr>
        <w:t>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</w:rPr>
        <w:t xml:space="preserve">Keywords: </w:t>
      </w:r>
      <w:r w:rsidRPr="00827557">
        <w:rPr>
          <w:rFonts w:ascii="Times New Roman" w:hAnsi="Times New Roman" w:cs="Times New Roman"/>
          <w:sz w:val="24"/>
          <w:szCs w:val="24"/>
        </w:rPr>
        <w:t>internet, sanctions, restrictive measures, OFAC, sanction regime violation,</w:t>
      </w:r>
      <w:r w:rsidR="007102D2" w:rsidRPr="007102D2">
        <w:rPr>
          <w:rFonts w:ascii="Times New Roman" w:hAnsi="Times New Roman" w:cs="Times New Roman"/>
          <w:sz w:val="24"/>
          <w:szCs w:val="24"/>
        </w:rPr>
        <w:t xml:space="preserve"> </w:t>
      </w:r>
      <w:r w:rsidRPr="00827557">
        <w:rPr>
          <w:rFonts w:ascii="Times New Roman" w:hAnsi="Times New Roman" w:cs="Times New Roman"/>
          <w:sz w:val="24"/>
          <w:szCs w:val="24"/>
        </w:rPr>
        <w:t>designation challenge.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Е.А. Шульгина, </w:t>
      </w:r>
      <w:proofErr w:type="spellStart"/>
      <w:r w:rsidRPr="007102D2"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spellEnd"/>
      <w:r w:rsidRPr="007102D2">
        <w:rPr>
          <w:rFonts w:ascii="Times New Roman" w:hAnsi="Times New Roman" w:cs="Times New Roman"/>
          <w:sz w:val="24"/>
          <w:szCs w:val="24"/>
          <w:lang w:val="ru-RU"/>
        </w:rPr>
        <w:t>. заведующего лабораторией правовой информатики и кибернетики юридического факультета МГУ</w:t>
      </w: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Е.А. Ястребова, </w:t>
      </w:r>
      <w:r w:rsidRPr="007102D2">
        <w:rPr>
          <w:rFonts w:ascii="Times New Roman" w:hAnsi="Times New Roman" w:cs="Times New Roman"/>
          <w:sz w:val="24"/>
          <w:szCs w:val="24"/>
          <w:lang w:val="ru-RU"/>
        </w:rPr>
        <w:t>младший научный сотрудник лаборатории политологии юридического факультета МГУ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Справочные правовые системы</w:t>
      </w:r>
      <w:r w:rsid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как источник информации</w:t>
      </w:r>
      <w:r w:rsid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>о новостях законодательства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статье исследована роль справочных правовых систем в систематизации изменений законодательства на протяжении последних десятилетий. Рассмотрены различные возможности работы с новостями законодательства в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современных справочных правовых системах. Сделаны выводы об основных направлениях систематизации изменений законодательства для использования в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правоприменительной практике и стратегическом планировании модернизации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законодательства.</w:t>
      </w:r>
    </w:p>
    <w:p w:rsidR="007D17F2" w:rsidRPr="007102D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справочные правовые системы, систематизация изменений законодательства, цифровые технологии.</w:t>
      </w:r>
    </w:p>
    <w:p w:rsidR="00EA31FB" w:rsidRPr="007102D2" w:rsidRDefault="00EA31FB" w:rsidP="005379F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i/>
          <w:sz w:val="24"/>
          <w:szCs w:val="24"/>
        </w:rPr>
        <w:t>The role of legal reference systems in the legislation changes systematization in recent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decades is studied. Various possibilities of working with legislation news in the modern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legal reference systems are considered. Conclusions are made about main directions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of systematization of legislation changes for use in law enforcement practice and strategic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planning of legislation modernization.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827557">
        <w:rPr>
          <w:rFonts w:ascii="Times New Roman" w:hAnsi="Times New Roman" w:cs="Times New Roman"/>
          <w:sz w:val="24"/>
          <w:szCs w:val="24"/>
        </w:rPr>
        <w:t xml:space="preserve"> reference legal systems, legislation changes systematization, digital</w:t>
      </w:r>
      <w:r w:rsidR="007102D2" w:rsidRPr="007102D2">
        <w:rPr>
          <w:rFonts w:ascii="Times New Roman" w:hAnsi="Times New Roman" w:cs="Times New Roman"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sz w:val="24"/>
          <w:szCs w:val="24"/>
        </w:rPr>
        <w:t>technologies.</w:t>
      </w: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7557" w:rsidRPr="007D17F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sz w:val="24"/>
          <w:szCs w:val="24"/>
          <w:lang w:val="ru-RU"/>
        </w:rPr>
        <w:t>Трибуна молодых ученых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75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Д.С. Денисов,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аспирант кафедры истории государства и права юридического факультета МГУ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7557" w:rsidRPr="00827557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Развитие суверенного иммунитета в Великобритании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в конце XIX — начале XXI 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ека</w:t>
      </w:r>
      <w:r w:rsidRPr="007D17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827557" w:rsidRPr="007D17F2">
        <w:rPr>
          <w:rFonts w:ascii="Times New Roman" w:hAnsi="Times New Roman" w:cs="Times New Roman"/>
          <w:i/>
          <w:sz w:val="24"/>
          <w:szCs w:val="24"/>
          <w:lang w:val="ru-RU"/>
        </w:rPr>
        <w:t>(статья первая)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Pr="007102D2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Настоящая статья открывает цикл работ о становлении и эволюции в науке права и практике Великобритании суверенного иммунитета в период с XIX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по начало XXI в. Статья содержит сведения о практической реализации концепции суверенитета, вопросах факта и права, ставших предметом рассмотрения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английских судах по делу </w:t>
      </w:r>
      <w:proofErr w:type="spellStart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The</w:t>
      </w:r>
      <w:proofErr w:type="spellEnd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Parlement</w:t>
      </w:r>
      <w:proofErr w:type="spellEnd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Belge</w:t>
      </w:r>
      <w:proofErr w:type="spellEnd"/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(1878–1880), итоговое решение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по которому сформировало устойчивый прецедент на протяжении последующих</w:t>
      </w:r>
      <w:r w:rsidR="007102D2" w:rsidRPr="007102D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восьмидесяти лет.</w:t>
      </w:r>
    </w:p>
    <w:p w:rsidR="007D17F2" w:rsidRDefault="007D17F2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  <w:lang w:val="ru-RU"/>
        </w:rPr>
        <w:t>Ключевые слова:</w:t>
      </w:r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Великобритания, суверенитет, иммунитет, юрисдикционный иммунитет, государственный иммунитет, дело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Парлемент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27557">
        <w:rPr>
          <w:rFonts w:ascii="Times New Roman" w:hAnsi="Times New Roman" w:cs="Times New Roman"/>
          <w:sz w:val="24"/>
          <w:szCs w:val="24"/>
          <w:lang w:val="ru-RU"/>
        </w:rPr>
        <w:t>Белж</w:t>
      </w:r>
      <w:proofErr w:type="spellEnd"/>
      <w:r w:rsidRPr="00827557">
        <w:rPr>
          <w:rFonts w:ascii="Times New Roman" w:hAnsi="Times New Roman" w:cs="Times New Roman"/>
          <w:sz w:val="24"/>
          <w:szCs w:val="24"/>
          <w:lang w:val="ru-RU"/>
        </w:rPr>
        <w:t xml:space="preserve"> (1878–1880).</w:t>
      </w:r>
    </w:p>
    <w:p w:rsidR="00827557" w:rsidRDefault="00827557" w:rsidP="00827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620" w:rsidRPr="007102D2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D2">
        <w:rPr>
          <w:rFonts w:ascii="Times New Roman" w:hAnsi="Times New Roman" w:cs="Times New Roman"/>
          <w:i/>
          <w:sz w:val="24"/>
          <w:szCs w:val="24"/>
        </w:rPr>
        <w:t>This article dedicates a series of works on the formation and evolution of sovereign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immunity in law and practice of the United Kingdom during the period from the XIX to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the beginning of the XXI century. The article includes report on the practical implementation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of the concept of sovereignty, questions of fact and law, which were the subject of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 xml:space="preserve">consideration in English courts in case The </w:t>
      </w:r>
      <w:proofErr w:type="spellStart"/>
      <w:r w:rsidRPr="007102D2">
        <w:rPr>
          <w:rFonts w:ascii="Times New Roman" w:hAnsi="Times New Roman" w:cs="Times New Roman"/>
          <w:i/>
          <w:sz w:val="24"/>
          <w:szCs w:val="24"/>
        </w:rPr>
        <w:t>Parlement</w:t>
      </w:r>
      <w:proofErr w:type="spellEnd"/>
      <w:r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102D2">
        <w:rPr>
          <w:rFonts w:ascii="Times New Roman" w:hAnsi="Times New Roman" w:cs="Times New Roman"/>
          <w:i/>
          <w:sz w:val="24"/>
          <w:szCs w:val="24"/>
        </w:rPr>
        <w:t>Belge</w:t>
      </w:r>
      <w:proofErr w:type="spellEnd"/>
      <w:r w:rsidRPr="007102D2">
        <w:rPr>
          <w:rFonts w:ascii="Times New Roman" w:hAnsi="Times New Roman" w:cs="Times New Roman"/>
          <w:i/>
          <w:sz w:val="24"/>
          <w:szCs w:val="24"/>
        </w:rPr>
        <w:t xml:space="preserve"> (1878–1880), the final</w:t>
      </w:r>
      <w:r w:rsidR="007102D2" w:rsidRPr="007102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</w:rPr>
        <w:t>decision on which formed a constant precedent for the next eighty years.</w:t>
      </w:r>
    </w:p>
    <w:p w:rsidR="007D17F2" w:rsidRPr="007102D2" w:rsidRDefault="007D17F2" w:rsidP="009766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27557" w:rsidRPr="007102D2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2D2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Pr="00976620">
        <w:rPr>
          <w:rFonts w:ascii="Times New Roman" w:hAnsi="Times New Roman" w:cs="Times New Roman"/>
          <w:sz w:val="24"/>
          <w:szCs w:val="24"/>
        </w:rPr>
        <w:t xml:space="preserve"> Great Britain, sovereignty, immunity, jurisdictional immunity, state</w:t>
      </w:r>
      <w:r w:rsidR="007102D2" w:rsidRPr="007102D2">
        <w:rPr>
          <w:rFonts w:ascii="Times New Roman" w:hAnsi="Times New Roman" w:cs="Times New Roman"/>
          <w:sz w:val="24"/>
          <w:szCs w:val="24"/>
        </w:rPr>
        <w:t xml:space="preserve"> </w:t>
      </w:r>
      <w:r w:rsidRPr="007102D2">
        <w:rPr>
          <w:rFonts w:ascii="Times New Roman" w:hAnsi="Times New Roman" w:cs="Times New Roman"/>
          <w:sz w:val="24"/>
          <w:szCs w:val="24"/>
        </w:rPr>
        <w:t xml:space="preserve">immunity, The </w:t>
      </w:r>
      <w:proofErr w:type="spellStart"/>
      <w:r w:rsidRPr="007102D2">
        <w:rPr>
          <w:rFonts w:ascii="Times New Roman" w:hAnsi="Times New Roman" w:cs="Times New Roman"/>
          <w:sz w:val="24"/>
          <w:szCs w:val="24"/>
        </w:rPr>
        <w:t>Parlement</w:t>
      </w:r>
      <w:proofErr w:type="spellEnd"/>
      <w:r w:rsidRPr="00710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2D2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Pr="007102D2">
        <w:rPr>
          <w:rFonts w:ascii="Times New Roman" w:hAnsi="Times New Roman" w:cs="Times New Roman"/>
          <w:sz w:val="24"/>
          <w:szCs w:val="24"/>
        </w:rPr>
        <w:t xml:space="preserve"> (1878–1880).</w:t>
      </w:r>
    </w:p>
    <w:p w:rsidR="00976620" w:rsidRPr="007102D2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20" w:rsidRPr="00976620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62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Научная жизнь</w:t>
      </w:r>
    </w:p>
    <w:p w:rsidR="007D17F2" w:rsidRDefault="007D17F2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2D2" w:rsidRPr="007102D2" w:rsidRDefault="007102D2" w:rsidP="0071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sz w:val="24"/>
          <w:szCs w:val="24"/>
          <w:lang w:val="ru-RU"/>
        </w:rPr>
        <w:t>Е.В. Измайлова,</w:t>
      </w:r>
      <w:r w:rsidRPr="007102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коммерческого права и основ правоведения юридического факультета МГУ</w:t>
      </w:r>
    </w:p>
    <w:p w:rsidR="00366C5D" w:rsidRPr="007102D2" w:rsidRDefault="007102D2" w:rsidP="00710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02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В.А. Маслова, </w:t>
      </w:r>
      <w:r w:rsidRPr="007102D2">
        <w:rPr>
          <w:rFonts w:ascii="Times New Roman" w:hAnsi="Times New Roman" w:cs="Times New Roman"/>
          <w:i/>
          <w:sz w:val="24"/>
          <w:szCs w:val="24"/>
          <w:lang w:val="ru-RU"/>
        </w:rPr>
        <w:t>кандидат юридических наук, доцент кафедры коммерческого права и основ правоведения юридического факультета МГУ</w:t>
      </w:r>
    </w:p>
    <w:p w:rsidR="007102D2" w:rsidRDefault="007102D2" w:rsidP="009766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6620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Современные проблемы</w:t>
      </w:r>
      <w:r w:rsidR="007D17F2" w:rsidRP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коммерческого права:</w:t>
      </w:r>
      <w:r w:rsidR="007D17F2" w:rsidRPr="007D17F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доктринальные подходы</w:t>
      </w:r>
      <w:r w:rsidR="007D17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i/>
          <w:sz w:val="24"/>
          <w:szCs w:val="24"/>
          <w:lang w:val="ru-RU"/>
        </w:rPr>
        <w:t>(по материалам работы</w:t>
      </w:r>
      <w:r w:rsidR="007D17F2" w:rsidRPr="007D17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i/>
          <w:sz w:val="24"/>
          <w:szCs w:val="24"/>
          <w:lang w:val="ru-RU"/>
        </w:rPr>
        <w:t>XV Международной научно-практической конференции</w:t>
      </w:r>
      <w:r w:rsidR="007D17F2" w:rsidRPr="007D17F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D17F2">
        <w:rPr>
          <w:rFonts w:ascii="Times New Roman" w:hAnsi="Times New Roman" w:cs="Times New Roman"/>
          <w:i/>
          <w:sz w:val="24"/>
          <w:szCs w:val="24"/>
          <w:lang w:val="ru-RU"/>
        </w:rPr>
        <w:t>по коммерческому праву)</w:t>
      </w:r>
    </w:p>
    <w:p w:rsidR="00976620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6620" w:rsidRPr="00976620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7F2">
        <w:rPr>
          <w:rFonts w:ascii="Times New Roman" w:hAnsi="Times New Roman" w:cs="Times New Roman"/>
          <w:b/>
          <w:sz w:val="24"/>
          <w:szCs w:val="24"/>
          <w:lang w:val="ru-RU"/>
        </w:rPr>
        <w:t>Указатель статей и материалов,</w:t>
      </w:r>
      <w:r w:rsidRPr="00976620">
        <w:rPr>
          <w:rFonts w:ascii="Times New Roman" w:hAnsi="Times New Roman" w:cs="Times New Roman"/>
          <w:sz w:val="24"/>
          <w:szCs w:val="24"/>
          <w:lang w:val="ru-RU"/>
        </w:rPr>
        <w:t xml:space="preserve"> опубликованных в журнале</w:t>
      </w:r>
    </w:p>
    <w:p w:rsidR="00976620" w:rsidRPr="00827557" w:rsidRDefault="00976620" w:rsidP="00976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6620">
        <w:rPr>
          <w:rFonts w:ascii="Times New Roman" w:hAnsi="Times New Roman" w:cs="Times New Roman"/>
          <w:sz w:val="24"/>
          <w:szCs w:val="24"/>
          <w:lang w:val="ru-RU"/>
        </w:rPr>
        <w:t>«Вестник Московского университета. Серия 11. Право» за 2018 г.</w:t>
      </w:r>
    </w:p>
    <w:p w:rsidR="001C58F5" w:rsidRPr="00827557" w:rsidRDefault="001C58F5" w:rsidP="00EA3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2688" w:rsidRPr="00827557" w:rsidRDefault="00412688" w:rsidP="00C22A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412688" w:rsidRPr="008275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40FAA"/>
    <w:rsid w:val="00041D9B"/>
    <w:rsid w:val="0004656D"/>
    <w:rsid w:val="000468D5"/>
    <w:rsid w:val="000575A3"/>
    <w:rsid w:val="00094A79"/>
    <w:rsid w:val="000D7D1A"/>
    <w:rsid w:val="00117044"/>
    <w:rsid w:val="00121AAA"/>
    <w:rsid w:val="00132FA1"/>
    <w:rsid w:val="001628F7"/>
    <w:rsid w:val="00163605"/>
    <w:rsid w:val="001B351B"/>
    <w:rsid w:val="001C58F5"/>
    <w:rsid w:val="00200B4E"/>
    <w:rsid w:val="002578E0"/>
    <w:rsid w:val="00276CA3"/>
    <w:rsid w:val="002917C7"/>
    <w:rsid w:val="002972C0"/>
    <w:rsid w:val="002A43EF"/>
    <w:rsid w:val="002C56F1"/>
    <w:rsid w:val="002D15A8"/>
    <w:rsid w:val="002D4A7C"/>
    <w:rsid w:val="00334CF7"/>
    <w:rsid w:val="00366C5D"/>
    <w:rsid w:val="003C1349"/>
    <w:rsid w:val="003C485A"/>
    <w:rsid w:val="003E028C"/>
    <w:rsid w:val="00412688"/>
    <w:rsid w:val="0041777B"/>
    <w:rsid w:val="004A3297"/>
    <w:rsid w:val="004E0064"/>
    <w:rsid w:val="004E63EA"/>
    <w:rsid w:val="0052501C"/>
    <w:rsid w:val="005379FA"/>
    <w:rsid w:val="00542501"/>
    <w:rsid w:val="00551DFF"/>
    <w:rsid w:val="005734A5"/>
    <w:rsid w:val="0057765B"/>
    <w:rsid w:val="00587AC5"/>
    <w:rsid w:val="005D07A8"/>
    <w:rsid w:val="005E23C8"/>
    <w:rsid w:val="00602221"/>
    <w:rsid w:val="0060720B"/>
    <w:rsid w:val="0062793D"/>
    <w:rsid w:val="00654853"/>
    <w:rsid w:val="006666B4"/>
    <w:rsid w:val="006B0B3F"/>
    <w:rsid w:val="00700213"/>
    <w:rsid w:val="00702F94"/>
    <w:rsid w:val="007072EB"/>
    <w:rsid w:val="007102D2"/>
    <w:rsid w:val="00711F8E"/>
    <w:rsid w:val="0079686C"/>
    <w:rsid w:val="007B3A7A"/>
    <w:rsid w:val="007D17F2"/>
    <w:rsid w:val="007F750C"/>
    <w:rsid w:val="00801C25"/>
    <w:rsid w:val="00815CFD"/>
    <w:rsid w:val="008225B5"/>
    <w:rsid w:val="00827557"/>
    <w:rsid w:val="00885983"/>
    <w:rsid w:val="008A7E3E"/>
    <w:rsid w:val="00904493"/>
    <w:rsid w:val="00906B38"/>
    <w:rsid w:val="009151F1"/>
    <w:rsid w:val="00932E66"/>
    <w:rsid w:val="00934FCF"/>
    <w:rsid w:val="00967529"/>
    <w:rsid w:val="00976620"/>
    <w:rsid w:val="00993E1C"/>
    <w:rsid w:val="009A7B6B"/>
    <w:rsid w:val="009B5E0D"/>
    <w:rsid w:val="009E2CF3"/>
    <w:rsid w:val="00A15428"/>
    <w:rsid w:val="00A252D7"/>
    <w:rsid w:val="00AA12D9"/>
    <w:rsid w:val="00AA7723"/>
    <w:rsid w:val="00AD264E"/>
    <w:rsid w:val="00B138A6"/>
    <w:rsid w:val="00B33674"/>
    <w:rsid w:val="00B524F9"/>
    <w:rsid w:val="00B5284B"/>
    <w:rsid w:val="00B537D9"/>
    <w:rsid w:val="00B560CC"/>
    <w:rsid w:val="00BB7690"/>
    <w:rsid w:val="00BC0727"/>
    <w:rsid w:val="00BF555A"/>
    <w:rsid w:val="00C22AE6"/>
    <w:rsid w:val="00C41462"/>
    <w:rsid w:val="00C520B7"/>
    <w:rsid w:val="00C77EE3"/>
    <w:rsid w:val="00C83DCB"/>
    <w:rsid w:val="00CB53A7"/>
    <w:rsid w:val="00CE5D22"/>
    <w:rsid w:val="00CF5C46"/>
    <w:rsid w:val="00D369A1"/>
    <w:rsid w:val="00DB141C"/>
    <w:rsid w:val="00DC3BFC"/>
    <w:rsid w:val="00DD59ED"/>
    <w:rsid w:val="00E04B00"/>
    <w:rsid w:val="00E0538C"/>
    <w:rsid w:val="00E062CF"/>
    <w:rsid w:val="00E21BE2"/>
    <w:rsid w:val="00E75850"/>
    <w:rsid w:val="00EA31FB"/>
    <w:rsid w:val="00EA7167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A2E1E"/>
    <w:rsid w:val="00FB4CA7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72FD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2324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25</cp:revision>
  <dcterms:created xsi:type="dcterms:W3CDTF">2017-04-21T09:27:00Z</dcterms:created>
  <dcterms:modified xsi:type="dcterms:W3CDTF">2019-01-16T18:42:00Z</dcterms:modified>
</cp:coreProperties>
</file>