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E433" w14:textId="756D7EBA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14:paraId="4F654913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14:paraId="7BB141DA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14:paraId="5A38543C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14:paraId="3E046E5E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14:paraId="4B0AED8E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483F84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 один раз в два месяца</w:t>
      </w:r>
    </w:p>
    <w:p w14:paraId="57B9B079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B4062D" w14:textId="0A91A60B" w:rsidR="005379FA" w:rsidRDefault="009B5E0D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366500">
        <w:rPr>
          <w:rFonts w:ascii="Times New Roman" w:hAnsi="Times New Roman" w:cs="Times New Roman"/>
          <w:b/>
          <w:sz w:val="24"/>
          <w:szCs w:val="24"/>
        </w:rPr>
        <w:t>5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201</w:t>
      </w:r>
      <w:r w:rsidR="005B2726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</w:t>
      </w:r>
      <w:r w:rsidR="00366500">
        <w:rPr>
          <w:rFonts w:ascii="Times New Roman" w:hAnsi="Times New Roman" w:cs="Times New Roman"/>
          <w:b/>
          <w:sz w:val="24"/>
          <w:szCs w:val="24"/>
          <w:lang w:val="ru-RU"/>
        </w:rPr>
        <w:t>сентябрь–ок</w:t>
      </w:r>
      <w:r w:rsidR="00FC141E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366500">
        <w:rPr>
          <w:rFonts w:ascii="Times New Roman" w:hAnsi="Times New Roman" w:cs="Times New Roman"/>
          <w:b/>
          <w:sz w:val="24"/>
          <w:szCs w:val="24"/>
          <w:lang w:val="ru-RU"/>
        </w:rPr>
        <w:t>ябрь</w:t>
      </w:r>
    </w:p>
    <w:p w14:paraId="34303A95" w14:textId="39443614" w:rsidR="00F72381" w:rsidRDefault="00F72381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0E1EC7" w14:textId="77777777" w:rsidR="00366500" w:rsidRPr="00FC141E" w:rsidRDefault="00366500" w:rsidP="00B617CA">
      <w:pPr>
        <w:jc w:val="both"/>
        <w:rPr>
          <w:rFonts w:ascii="Times New Roman" w:eastAsia="Newton-Italic" w:hAnsi="Times New Roman" w:cs="Times New Roman"/>
          <w:sz w:val="24"/>
          <w:szCs w:val="24"/>
          <w:lang w:val="ru-RU"/>
        </w:rPr>
      </w:pPr>
      <w:bookmarkStart w:id="0" w:name="_Hlk18341969"/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Проблемы экологического и земельного права</w:t>
      </w:r>
    </w:p>
    <w:p w14:paraId="65D365E9" w14:textId="7ABDF84B" w:rsidR="00BF516C" w:rsidRPr="00FC141E" w:rsidRDefault="00BF516C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И.А. </w:t>
      </w:r>
      <w:r w:rsidR="00366500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Игнатьева</w:t>
      </w: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,</w:t>
      </w:r>
      <w:r w:rsidR="00366500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F516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доктор юридических наук, профессор кафедры экологического и земельного права юридического факультета МГУ</w:t>
      </w:r>
    </w:p>
    <w:p w14:paraId="30BEAB2E" w14:textId="77777777" w:rsid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439C217D" w14:textId="1EA3BFD8" w:rsidR="00366500" w:rsidRDefault="00366500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Объекты в экологическом праве: аспекты исследования и условия включения в правовую сферу </w:t>
      </w:r>
    </w:p>
    <w:p w14:paraId="0B037AA5" w14:textId="1F84AFC2" w:rsid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44108D4F" w14:textId="787D26B4" w:rsidR="00FC141E" w:rsidRP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 статье систематизируются подходы к рассмотрению объектов в экологическом праве. Исследуются вопросы включения в перечень объектов охраны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окружающей среды таких природных объектов, которые не определены в праве, — почвы, растительный мир, а также в отношении которых невозможно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или затруднительно по разным причинам развивать правовое регулирование, —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озоновый слой, Вселенная, климат и др. Подчеркнута актуальность проблемы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учета объективных, естественнонаучных, технических и иных пределов для создания и развития правового регулирования в отношении ряда объектов.</w:t>
      </w:r>
    </w:p>
    <w:p w14:paraId="6C7A1445" w14:textId="77777777" w:rsid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0577893" w14:textId="6004F53D" w:rsidR="00FC141E" w:rsidRPr="00B617CA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FC141E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FC141E">
        <w:rPr>
          <w:rFonts w:ascii="Times New Roman" w:eastAsia="Newton-Regular" w:hAnsi="Times New Roman" w:cs="Times New Roman"/>
          <w:sz w:val="24"/>
          <w:szCs w:val="24"/>
          <w:lang w:val="ru-RU"/>
        </w:rPr>
        <w:t>природный объект, экологическое право, компоненты</w:t>
      </w:r>
      <w:r w:rsidR="00B617CA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B617CA">
        <w:rPr>
          <w:rFonts w:ascii="Times New Roman" w:eastAsia="Newton-Regular" w:hAnsi="Times New Roman" w:cs="Times New Roman"/>
          <w:sz w:val="24"/>
          <w:szCs w:val="24"/>
          <w:lang w:val="ru-RU"/>
        </w:rPr>
        <w:t>природной среды, окружающая среда.</w:t>
      </w:r>
    </w:p>
    <w:p w14:paraId="1E4543FE" w14:textId="77777777" w:rsidR="00FC141E" w:rsidRPr="00B617CA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3A06A6B3" w14:textId="386E414C" w:rsidR="00FC141E" w:rsidRP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systematizes approaches to the consideration of objects that stand out in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>environmental law. The issues of including in the list of environmental protection objects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>those natural objects that are not defined in law — soils, flora, and also for which it is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>impossible or difficult for various reasons to develop legal regulation — ozone layer, the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>Universe, climate, etc. The urgency of the problem of accounting for objective, natural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>science, technical and other limits for the creation and development of legal regulation in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>relation to a number of objects is emphasized.</w:t>
      </w:r>
    </w:p>
    <w:p w14:paraId="694B2A95" w14:textId="77777777" w:rsid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4977B06C" w14:textId="0F945CE1" w:rsidR="00FC141E" w:rsidRPr="00B617CA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C141E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>Keywords</w:t>
      </w:r>
      <w:r w:rsidRPr="00FC141E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: </w:t>
      </w:r>
      <w:r w:rsidRPr="00FC141E">
        <w:rPr>
          <w:rFonts w:ascii="Times New Roman" w:eastAsia="Newton-Regular" w:hAnsi="Times New Roman" w:cs="Times New Roman"/>
          <w:sz w:val="24"/>
          <w:szCs w:val="24"/>
        </w:rPr>
        <w:t>natural object, environmental law, components of the natural environment,</w:t>
      </w:r>
      <w:r w:rsidR="00B617CA" w:rsidRPr="00B617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FC141E">
        <w:rPr>
          <w:rFonts w:ascii="Times New Roman" w:eastAsia="Newton-Regular" w:hAnsi="Times New Roman" w:cs="Times New Roman"/>
          <w:sz w:val="24"/>
          <w:szCs w:val="24"/>
        </w:rPr>
        <w:t>environment.</w:t>
      </w:r>
    </w:p>
    <w:p w14:paraId="7EFC55D0" w14:textId="77777777" w:rsidR="00FC141E" w:rsidRPr="00B617CA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19C08C53" w14:textId="1DB9E113" w:rsidR="00366500" w:rsidRPr="00B617CA" w:rsidRDefault="00366500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sz w:val="24"/>
          <w:szCs w:val="24"/>
        </w:rPr>
      </w:pP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Проблемы</w:t>
      </w:r>
      <w:r w:rsidRPr="00B617CA">
        <w:rPr>
          <w:rFonts w:ascii="Times New Roman" w:eastAsia="Newton-Italic" w:hAnsi="Times New Roman" w:cs="Times New Roman"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административного</w:t>
      </w:r>
      <w:r w:rsidRPr="00B617CA">
        <w:rPr>
          <w:rFonts w:ascii="Times New Roman" w:eastAsia="Newton-Italic" w:hAnsi="Times New Roman" w:cs="Times New Roman"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права</w:t>
      </w:r>
    </w:p>
    <w:p w14:paraId="721E70E2" w14:textId="77777777" w:rsidR="00FC141E" w:rsidRPr="00B617CA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0C3BB2BB" w14:textId="0C737B59" w:rsidR="00FC141E" w:rsidRPr="009961D9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Newton-Italic" w:eastAsia="Newton-Italic" w:cs="Newton-Italic"/>
          <w:i/>
          <w:iCs/>
          <w:sz w:val="19"/>
          <w:szCs w:val="19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А.В. </w:t>
      </w:r>
      <w:r w:rsidR="00366500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Сергеев</w:t>
      </w: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,</w:t>
      </w:r>
      <w:r w:rsidR="00366500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="009961D9" w:rsidRPr="009961D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кандидат юридических наук, доцент кафедры административного права юридического факультета МГУ </w:t>
      </w:r>
    </w:p>
    <w:p w14:paraId="008F5A58" w14:textId="77777777" w:rsid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208BFCCF" w14:textId="454FAF84" w:rsidR="00366500" w:rsidRDefault="00366500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Гарантии прав граждан при обжаловании бездействия</w:t>
      </w: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органов публичного управления</w:t>
      </w:r>
    </w:p>
    <w:p w14:paraId="1D0D3EE9" w14:textId="20332FF6" w:rsid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5FA8F3D4" w14:textId="506D6217" w:rsidR="009961D9" w:rsidRP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lastRenderedPageBreak/>
        <w:t>В статье анализируются проблемы обжалования бездействия органов публичной администрации. Исследуются теоретические и практические вопросы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внедрения в российскую систему права механизма подразумеваемых решений как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эффективного средства восстановления нарушенных прав граждан (организаций) в случае незаконного бездействия органов публичной администрации.</w:t>
      </w:r>
    </w:p>
    <w:p w14:paraId="2AD6679A" w14:textId="77777777" w:rsid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E6BEE27" w14:textId="12CF03ED" w:rsidR="009961D9" w:rsidRP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9961D9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9961D9">
        <w:rPr>
          <w:rFonts w:ascii="Times New Roman" w:eastAsia="Newton-Regular" w:hAnsi="Times New Roman" w:cs="Times New Roman"/>
          <w:sz w:val="24"/>
          <w:szCs w:val="24"/>
          <w:lang w:val="ru-RU"/>
        </w:rPr>
        <w:t>обжалование, бездействие публичной администрации,</w:t>
      </w:r>
      <w:r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9961D9">
        <w:rPr>
          <w:rFonts w:ascii="Times New Roman" w:eastAsia="Newton-Regular" w:hAnsi="Times New Roman" w:cs="Times New Roman"/>
          <w:sz w:val="24"/>
          <w:szCs w:val="24"/>
          <w:lang w:val="ru-RU"/>
        </w:rPr>
        <w:t>подразумеваемые решения, правовые презумпции, правовые фикции.</w:t>
      </w:r>
    </w:p>
    <w:p w14:paraId="0EA5ECC7" w14:textId="77777777" w:rsid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08302DA3" w14:textId="7E5143E0" w:rsidR="009961D9" w:rsidRP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analyzes problems of appealing inactivity of public authorities.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>Theoretical and practical issues of introducing the mechanism of implied decisions into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>the Russian system of law as an effective remedy against violation of rights of citizens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>(organizations) in case of illegal inactivity of public authorities are covered in the article.</w:t>
      </w:r>
    </w:p>
    <w:p w14:paraId="5CA376D3" w14:textId="77777777" w:rsid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66C3B67F" w14:textId="0E794046" w:rsidR="009961D9" w:rsidRP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9961D9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>Keywords</w:t>
      </w:r>
      <w:r w:rsidRPr="009961D9">
        <w:rPr>
          <w:rFonts w:ascii="Times New Roman" w:eastAsia="Newton-Regular" w:hAnsi="Times New Roman" w:cs="Times New Roman"/>
          <w:sz w:val="24"/>
          <w:szCs w:val="24"/>
        </w:rPr>
        <w:t>: appeal, inactivity of public authorities, implied decisions, legal presumptions,</w:t>
      </w:r>
      <w:r w:rsidRPr="009961D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9961D9">
        <w:rPr>
          <w:rFonts w:ascii="Times New Roman" w:eastAsia="Newton-Regular" w:hAnsi="Times New Roman" w:cs="Times New Roman"/>
          <w:sz w:val="24"/>
          <w:szCs w:val="24"/>
        </w:rPr>
        <w:t>legal fictions.</w:t>
      </w:r>
    </w:p>
    <w:p w14:paraId="38DD9514" w14:textId="77777777" w:rsidR="00FC141E" w:rsidRPr="009961D9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5D637D30" w14:textId="1689A076" w:rsidR="00366500" w:rsidRPr="009961D9" w:rsidRDefault="00366500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sz w:val="24"/>
          <w:szCs w:val="24"/>
        </w:rPr>
      </w:pP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Проблемы</w:t>
      </w:r>
      <w:r w:rsidRPr="009961D9">
        <w:rPr>
          <w:rFonts w:ascii="Times New Roman" w:eastAsia="Newton-Italic" w:hAnsi="Times New Roman" w:cs="Times New Roman"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конституционного</w:t>
      </w:r>
      <w:r w:rsidRPr="009961D9">
        <w:rPr>
          <w:rFonts w:ascii="Times New Roman" w:eastAsia="Newton-Italic" w:hAnsi="Times New Roman" w:cs="Times New Roman"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и</w:t>
      </w:r>
      <w:r w:rsidRPr="009961D9">
        <w:rPr>
          <w:rFonts w:ascii="Times New Roman" w:eastAsia="Newton-Italic" w:hAnsi="Times New Roman" w:cs="Times New Roman"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муниципального</w:t>
      </w:r>
      <w:r w:rsidRPr="009961D9">
        <w:rPr>
          <w:rFonts w:ascii="Times New Roman" w:eastAsia="Newton-Italic" w:hAnsi="Times New Roman" w:cs="Times New Roman"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права</w:t>
      </w:r>
    </w:p>
    <w:p w14:paraId="2F1F80BF" w14:textId="77777777" w:rsidR="00FC141E" w:rsidRPr="009961D9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41729AB5" w14:textId="5800BA6B" w:rsidR="00FC141E" w:rsidRPr="009961D9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Newton-Italic" w:eastAsia="Newton-Italic" w:cs="Newton-Italic"/>
          <w:i/>
          <w:iCs/>
          <w:color w:val="000000"/>
          <w:sz w:val="19"/>
          <w:szCs w:val="19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И.А. </w:t>
      </w:r>
      <w:r w:rsidR="00366500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Старостина</w:t>
      </w: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,</w:t>
      </w:r>
      <w:r w:rsidR="00366500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="009961D9" w:rsidRPr="009961D9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кандидат юридических наук, доцент кафедры конст</w:t>
      </w:r>
      <w:r w:rsidR="009961D9" w:rsidRPr="009961D9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="009961D9" w:rsidRPr="009961D9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туционного и муниципального права юридического факультета МГУ</w:t>
      </w:r>
      <w:r w:rsidR="009961D9" w:rsidRPr="009961D9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1</w:t>
      </w:r>
    </w:p>
    <w:p w14:paraId="4A3DEF8F" w14:textId="77777777" w:rsid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41860768" w14:textId="2EFC747D" w:rsidR="00366500" w:rsidRDefault="00366500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Народное представительство: современные конституционно-правовые подходы</w:t>
      </w:r>
    </w:p>
    <w:p w14:paraId="646E5765" w14:textId="77777777" w:rsid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18"/>
          <w:szCs w:val="18"/>
          <w:lang w:val="ru-RU"/>
        </w:rPr>
      </w:pPr>
    </w:p>
    <w:p w14:paraId="3D264B95" w14:textId="3DA47282" w:rsidR="009961D9" w:rsidRPr="00B617CA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 статье с позиции современных подходов к российской и европейской моделям освещается многообразие аспектов понятия народного представительства,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его преимущества, видовая характеристика, принципы; современные тенденции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развития представительных учреждений — парламентов.</w:t>
      </w:r>
    </w:p>
    <w:p w14:paraId="1D664FDA" w14:textId="77777777" w:rsidR="009961D9" w:rsidRPr="00B617CA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69C45E0B" w14:textId="47D1E769" w:rsidR="009961D9" w:rsidRPr="00B617CA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B617CA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B617CA">
        <w:rPr>
          <w:rFonts w:ascii="Times New Roman" w:eastAsia="Newton-Regular" w:hAnsi="Times New Roman" w:cs="Times New Roman"/>
          <w:sz w:val="24"/>
          <w:szCs w:val="24"/>
          <w:lang w:val="ru-RU"/>
        </w:rPr>
        <w:t>народное представительство, представительная демократия, парламент, Европейский союз.</w:t>
      </w:r>
    </w:p>
    <w:p w14:paraId="68AA0298" w14:textId="77777777" w:rsidR="009961D9" w:rsidRPr="00B617CA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47C4E390" w14:textId="7B9614C3" w:rsidR="009961D9" w:rsidRPr="00B617CA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highlights the diversity of aspects of the concept of popular representation,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>its advantages, species characteristics, principles from the perspective of modern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>approaches to Russian and European models; current trends in the development of representative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>institutions — parliaments.</w:t>
      </w:r>
    </w:p>
    <w:p w14:paraId="7FE21BD3" w14:textId="77777777" w:rsidR="009961D9" w:rsidRPr="00B617CA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260D9C2E" w14:textId="15CE966A" w:rsidR="009961D9" w:rsidRP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B617CA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B617CA">
        <w:rPr>
          <w:rFonts w:ascii="Times New Roman" w:eastAsia="Newton-Regular" w:hAnsi="Times New Roman" w:cs="Times New Roman"/>
          <w:sz w:val="24"/>
          <w:szCs w:val="24"/>
        </w:rPr>
        <w:t>popular representation, representative democracy, parliament, European</w:t>
      </w:r>
      <w:r w:rsidRPr="00B617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617CA">
        <w:rPr>
          <w:rFonts w:ascii="Times New Roman" w:eastAsia="Newton-Regular" w:hAnsi="Times New Roman" w:cs="Times New Roman"/>
          <w:sz w:val="24"/>
          <w:szCs w:val="24"/>
        </w:rPr>
        <w:t>Union.</w:t>
      </w:r>
    </w:p>
    <w:p w14:paraId="60344076" w14:textId="77777777" w:rsidR="00FC141E" w:rsidRPr="009961D9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6D40D9C5" w14:textId="451C0D3A" w:rsidR="00366500" w:rsidRPr="009961D9" w:rsidRDefault="00366500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sz w:val="24"/>
          <w:szCs w:val="24"/>
        </w:rPr>
      </w:pP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История</w:t>
      </w:r>
      <w:r w:rsidRPr="009961D9">
        <w:rPr>
          <w:rFonts w:ascii="Times New Roman" w:eastAsia="Newton-Italic" w:hAnsi="Times New Roman" w:cs="Times New Roman"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государства</w:t>
      </w:r>
      <w:r w:rsidRPr="009961D9">
        <w:rPr>
          <w:rFonts w:ascii="Times New Roman" w:eastAsia="Newton-Italic" w:hAnsi="Times New Roman" w:cs="Times New Roman"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и</w:t>
      </w:r>
      <w:r w:rsidRPr="009961D9">
        <w:rPr>
          <w:rFonts w:ascii="Times New Roman" w:eastAsia="Newton-Italic" w:hAnsi="Times New Roman" w:cs="Times New Roman"/>
          <w:sz w:val="24"/>
          <w:szCs w:val="24"/>
        </w:rPr>
        <w:t xml:space="preserve"> </w:t>
      </w: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права</w:t>
      </w:r>
    </w:p>
    <w:p w14:paraId="5C30DCD8" w14:textId="77777777" w:rsidR="00FC141E" w:rsidRPr="009961D9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2161BA63" w14:textId="573481FF" w:rsidR="00FC141E" w:rsidRPr="009961D9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Newton-Italic" w:eastAsia="Newton-Italic" w:cs="Newton-Italic"/>
          <w:i/>
          <w:iCs/>
          <w:sz w:val="19"/>
          <w:szCs w:val="19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Ю.Н. </w:t>
      </w:r>
      <w:r w:rsidR="00366500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Сушкова</w:t>
      </w: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,</w:t>
      </w:r>
      <w:r w:rsidR="00366500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="009961D9" w:rsidRPr="009961D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доктор исторических наук, доцент, декан юридического факультета Мордовского государственного университета имени</w:t>
      </w:r>
      <w:r w:rsidR="009961D9" w:rsidRPr="009961D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="009961D9" w:rsidRPr="009961D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Н.П. Огарева, докторант кафедры истории </w:t>
      </w:r>
      <w:r w:rsidR="009961D9" w:rsidRPr="009961D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г</w:t>
      </w:r>
      <w:r w:rsidR="009961D9" w:rsidRPr="009961D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осударства и права юридического факультета МГУ</w:t>
      </w:r>
    </w:p>
    <w:p w14:paraId="2CE62B33" w14:textId="77777777" w:rsid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35D5A96D" w14:textId="146BEAC8" w:rsidR="00366500" w:rsidRDefault="00366500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Институт собственности в обычном праве мордвы</w:t>
      </w:r>
    </w:p>
    <w:p w14:paraId="0B1AB7A7" w14:textId="1B042F9A" w:rsid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215267B4" w14:textId="4E1E0527" w:rsidR="009961D9" w:rsidRP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lastRenderedPageBreak/>
        <w:t>В статье освещаются отдельные обычно-правовые аспекты института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собственности в традиционном юридическом быту мордовского народа. Большое внимание уделяется анализу «знаков собственности», к которым относились «знамена», меты, клейма, тамги (на мокша-мордовском языке «тяшкс»,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 эрзя-мордовском языке «тешкс»), маркировавшие принадлежность того или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иного объекта конкретному владельцу.</w:t>
      </w:r>
    </w:p>
    <w:p w14:paraId="3623B2A5" w14:textId="72FF4474" w:rsidR="009961D9" w:rsidRP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9961D9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9961D9">
        <w:rPr>
          <w:rFonts w:ascii="Times New Roman" w:eastAsia="Newton-Regular" w:hAnsi="Times New Roman" w:cs="Times New Roman"/>
          <w:sz w:val="24"/>
          <w:szCs w:val="24"/>
          <w:lang w:val="ru-RU"/>
        </w:rPr>
        <w:t>обычное право, мордва, знак собственности, имущество, бирочная система.</w:t>
      </w:r>
    </w:p>
    <w:p w14:paraId="72D74525" w14:textId="77777777" w:rsid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13A6E783" w14:textId="3A338C02" w:rsidR="009961D9" w:rsidRP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highlights the individual legal aspects of the institution of property in the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>traditional legal system of the Mordovian people. Great attention is paid to the analysis of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>“signs of ownership” (in Moksha-Mordvin language “tyashks”, in Erzya-Mordvin language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9961D9">
        <w:rPr>
          <w:rFonts w:ascii="Times New Roman" w:eastAsia="Newton-Italic" w:hAnsi="Times New Roman" w:cs="Times New Roman"/>
          <w:i/>
          <w:iCs/>
          <w:sz w:val="24"/>
          <w:szCs w:val="24"/>
        </w:rPr>
        <w:t>“teshks”), which marked the belonging of the particular object to the concrete owner.</w:t>
      </w:r>
    </w:p>
    <w:p w14:paraId="18ACD77A" w14:textId="77777777" w:rsid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0AA2E7B0" w14:textId="668F0B2E" w:rsidR="009961D9" w:rsidRPr="009961D9" w:rsidRDefault="009961D9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</w:rPr>
      </w:pPr>
      <w:r w:rsidRPr="009961D9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9961D9">
        <w:rPr>
          <w:rFonts w:ascii="Times New Roman" w:eastAsia="Newton-Regular" w:hAnsi="Times New Roman" w:cs="Times New Roman"/>
          <w:sz w:val="24"/>
          <w:szCs w:val="24"/>
        </w:rPr>
        <w:t>customary law, Mordvins, sign of ownership, property, label system.</w:t>
      </w:r>
    </w:p>
    <w:p w14:paraId="3B4803E8" w14:textId="77777777" w:rsidR="00FC141E" w:rsidRPr="009961D9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2D2B6B5F" w14:textId="1513FFC6" w:rsidR="00366500" w:rsidRPr="00FC141E" w:rsidRDefault="00366500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sz w:val="24"/>
          <w:szCs w:val="24"/>
          <w:lang w:val="ru-RU"/>
        </w:rPr>
      </w:pP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Проблемы университетского образования</w:t>
      </w:r>
    </w:p>
    <w:p w14:paraId="7C3D7E57" w14:textId="77777777" w:rsid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62196A66" w14:textId="12EAB573" w:rsidR="00FC141E" w:rsidRPr="00975A63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А.В. </w:t>
      </w:r>
      <w:r w:rsidR="00366500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Клочкова</w:t>
      </w: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, </w:t>
      </w:r>
      <w:r w:rsidR="009961D9" w:rsidRPr="009961D9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кандидат социологических наук, зав. лабораторией социально-правовых исследований и сравнительного правоведения юриди</w:t>
      </w:r>
      <w:r w:rsidR="009961D9" w:rsidRPr="00975A63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ческого факультета МГУ </w:t>
      </w:r>
      <w:r w:rsidR="009961D9" w:rsidRPr="00975A63">
        <w:rPr>
          <w:rFonts w:ascii="Newton-Italic" w:eastAsia="Newton-Italic" w:cs="Newton-Italic"/>
          <w:i/>
          <w:iCs/>
          <w:color w:val="FFFFFF"/>
          <w:sz w:val="11"/>
          <w:szCs w:val="11"/>
          <w:lang w:val="ru-RU"/>
        </w:rPr>
        <w:t>5</w:t>
      </w:r>
    </w:p>
    <w:p w14:paraId="008CF829" w14:textId="77777777" w:rsid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65DCA985" w14:textId="14C3AEFE" w:rsidR="00366500" w:rsidRDefault="00366500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Правовое сознание будущих юристов: результаты криминологических исследований </w:t>
      </w:r>
    </w:p>
    <w:p w14:paraId="321D0B22" w14:textId="1F40EE6C" w:rsidR="00975A63" w:rsidRDefault="00975A63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2CF03A6F" w14:textId="1A40134C" w:rsidR="00975A63" w:rsidRPr="00975A63" w:rsidRDefault="00975A63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975A63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Статья посвящена определению специфики правосознания будущих юристов. Лонгитьюдное исследование, проводящееся с 2008 г., позволяет выявить</w:t>
      </w:r>
      <w:r w:rsid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75A63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динамические изменения в отношении молодежи к противоправным проявлениям, в ее вербальной готовности к нарушению нравственных принципов и правовых норм, в уровне доверия к представителям правоохранительных органов и</w:t>
      </w:r>
      <w:r w:rsid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75A63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судебной системы. Особое внимание уделяется роли ценностно-мотивационной</w:t>
      </w:r>
      <w:r w:rsid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75A63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сферы личности в детерминации противоправного поведения, выявлению рисков</w:t>
      </w:r>
      <w:r w:rsid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75A63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девиантного и противоправного поведения молодежи.</w:t>
      </w:r>
    </w:p>
    <w:p w14:paraId="197414F2" w14:textId="77777777" w:rsid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19075B43" w14:textId="1068F2B7" w:rsidR="00975A63" w:rsidRDefault="00975A63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975A63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975A63">
        <w:rPr>
          <w:rFonts w:ascii="Times New Roman" w:eastAsia="Newton-Regular" w:hAnsi="Times New Roman" w:cs="Times New Roman"/>
          <w:sz w:val="24"/>
          <w:szCs w:val="24"/>
          <w:lang w:val="ru-RU"/>
        </w:rPr>
        <w:t>правосознание, правовые приоритеты, вербальная готовность к</w:t>
      </w:r>
      <w:r w:rsidR="0020412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975A63">
        <w:rPr>
          <w:rFonts w:ascii="Times New Roman" w:eastAsia="Newton-Regular" w:hAnsi="Times New Roman" w:cs="Times New Roman"/>
          <w:sz w:val="24"/>
          <w:szCs w:val="24"/>
          <w:lang w:val="ru-RU"/>
        </w:rPr>
        <w:t>нарушению нравственных принципов, противоправные способы</w:t>
      </w:r>
      <w:r w:rsidR="0020412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975A63">
        <w:rPr>
          <w:rFonts w:ascii="Times New Roman" w:eastAsia="Newton-Regular" w:hAnsi="Times New Roman" w:cs="Times New Roman"/>
          <w:sz w:val="24"/>
          <w:szCs w:val="24"/>
          <w:lang w:val="ru-RU"/>
        </w:rPr>
        <w:t>достижения личных</w:t>
      </w:r>
      <w:r w:rsidR="0020412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975A63">
        <w:rPr>
          <w:rFonts w:ascii="Times New Roman" w:eastAsia="Newton-Regular" w:hAnsi="Times New Roman" w:cs="Times New Roman"/>
          <w:sz w:val="24"/>
          <w:szCs w:val="24"/>
          <w:lang w:val="ru-RU"/>
        </w:rPr>
        <w:t>целей, умышленное преступление, отношение к правоохранительным органам, коррупция, потребление наркотических средств.</w:t>
      </w:r>
    </w:p>
    <w:p w14:paraId="76C2CBE6" w14:textId="77777777" w:rsidR="00204124" w:rsidRP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6DAE71BB" w14:textId="7D22E0E1" w:rsidR="00975A63" w:rsidRPr="00975A63" w:rsidRDefault="00975A63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975A63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is devoted to determining the specifics of legal awareness of future lawyers.</w:t>
      </w:r>
      <w:r w:rsidR="00204124"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975A63">
        <w:rPr>
          <w:rFonts w:ascii="Times New Roman" w:eastAsia="Newton-Italic" w:hAnsi="Times New Roman" w:cs="Times New Roman"/>
          <w:i/>
          <w:iCs/>
          <w:sz w:val="24"/>
          <w:szCs w:val="24"/>
        </w:rPr>
        <w:t>A longitudinal study, conducted since 2008, allows us to identify dynamic changes</w:t>
      </w:r>
      <w:r w:rsidR="00204124"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975A63">
        <w:rPr>
          <w:rFonts w:ascii="Times New Roman" w:eastAsia="Newton-Italic" w:hAnsi="Times New Roman" w:cs="Times New Roman"/>
          <w:i/>
          <w:iCs/>
          <w:sz w:val="24"/>
          <w:szCs w:val="24"/>
        </w:rPr>
        <w:t>in the attitude of young people to illegal manifestations, in the verbal readiness to violate</w:t>
      </w:r>
      <w:r w:rsidR="00204124"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975A63">
        <w:rPr>
          <w:rFonts w:ascii="Times New Roman" w:eastAsia="Newton-Italic" w:hAnsi="Times New Roman" w:cs="Times New Roman"/>
          <w:i/>
          <w:iCs/>
          <w:sz w:val="24"/>
          <w:szCs w:val="24"/>
        </w:rPr>
        <w:t>moral principles and legal norms, in the level of trust in representatives of law enforcement</w:t>
      </w:r>
      <w:r w:rsidR="00204124"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975A63">
        <w:rPr>
          <w:rFonts w:ascii="Times New Roman" w:eastAsia="Newton-Italic" w:hAnsi="Times New Roman" w:cs="Times New Roman"/>
          <w:i/>
          <w:iCs/>
          <w:sz w:val="24"/>
          <w:szCs w:val="24"/>
        </w:rPr>
        <w:t>agencies and the judicial system. Particular attention is paid to the role of</w:t>
      </w:r>
      <w:r w:rsidR="00204124"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975A63">
        <w:rPr>
          <w:rFonts w:ascii="Times New Roman" w:eastAsia="Newton-Italic" w:hAnsi="Times New Roman" w:cs="Times New Roman"/>
          <w:i/>
          <w:iCs/>
          <w:sz w:val="24"/>
          <w:szCs w:val="24"/>
        </w:rPr>
        <w:t>the value-motivational sphere of the individual in the determining of illegal behavior,</w:t>
      </w:r>
      <w:r w:rsidR="00204124"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975A63">
        <w:rPr>
          <w:rFonts w:ascii="Times New Roman" w:eastAsia="Newton-Italic" w:hAnsi="Times New Roman" w:cs="Times New Roman"/>
          <w:i/>
          <w:iCs/>
          <w:sz w:val="24"/>
          <w:szCs w:val="24"/>
        </w:rPr>
        <w:t>identifying of risks of deviant and illegal behavior of young people.</w:t>
      </w:r>
    </w:p>
    <w:p w14:paraId="06A891D2" w14:textId="77777777" w:rsid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11D66C19" w14:textId="47531364" w:rsidR="00975A63" w:rsidRPr="00204124" w:rsidRDefault="00975A63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975A63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lastRenderedPageBreak/>
        <w:t xml:space="preserve">Keywords: </w:t>
      </w:r>
      <w:r w:rsidRPr="00975A63">
        <w:rPr>
          <w:rFonts w:ascii="Times New Roman" w:eastAsia="Newton-Regular" w:hAnsi="Times New Roman" w:cs="Times New Roman"/>
          <w:sz w:val="24"/>
          <w:szCs w:val="24"/>
        </w:rPr>
        <w:t>legal awareness, legal priorities, verbal readiness to violate moral</w:t>
      </w:r>
      <w:r w:rsidR="00204124" w:rsidRPr="0020412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975A63">
        <w:rPr>
          <w:rFonts w:ascii="Times New Roman" w:eastAsia="Newton-Regular" w:hAnsi="Times New Roman" w:cs="Times New Roman"/>
          <w:sz w:val="24"/>
          <w:szCs w:val="24"/>
        </w:rPr>
        <w:t>principles, illegal ways to achieve personal goals, intentional crime, attitude to law</w:t>
      </w:r>
      <w:r w:rsidR="00204124" w:rsidRPr="0020412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975A63">
        <w:rPr>
          <w:rFonts w:ascii="Times New Roman" w:eastAsia="Newton-Regular" w:hAnsi="Times New Roman" w:cs="Times New Roman"/>
          <w:sz w:val="24"/>
          <w:szCs w:val="24"/>
        </w:rPr>
        <w:t>enforcement agencies, corruption, consumption of narcotic drugs</w:t>
      </w:r>
      <w:r w:rsidRPr="00975A63">
        <w:rPr>
          <w:rFonts w:ascii="Times New Roman" w:eastAsia="Newton-Italic" w:hAnsi="Times New Roman" w:cs="Times New Roman"/>
          <w:i/>
          <w:iCs/>
          <w:sz w:val="24"/>
          <w:szCs w:val="24"/>
        </w:rPr>
        <w:t>.</w:t>
      </w:r>
    </w:p>
    <w:p w14:paraId="42AB9F26" w14:textId="77777777" w:rsidR="00FC141E" w:rsidRPr="00975A63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7D222B4D" w14:textId="353EBB7E" w:rsidR="00366500" w:rsidRPr="00FC141E" w:rsidRDefault="00366500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sz w:val="24"/>
          <w:szCs w:val="24"/>
          <w:lang w:val="ru-RU"/>
        </w:rPr>
      </w:pPr>
      <w:r w:rsidRPr="00FC141E">
        <w:rPr>
          <w:rFonts w:ascii="Times New Roman" w:eastAsia="Newton-Italic" w:hAnsi="Times New Roman" w:cs="Times New Roman"/>
          <w:sz w:val="24"/>
          <w:szCs w:val="24"/>
          <w:lang w:val="ru-RU"/>
        </w:rPr>
        <w:t>Трибуна молодых ученых</w:t>
      </w:r>
    </w:p>
    <w:p w14:paraId="5FA121DF" w14:textId="77777777" w:rsid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2147ACE5" w14:textId="3250475A" w:rsidR="00FC141E" w:rsidRPr="00204124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Ш.М. </w:t>
      </w:r>
      <w:r w:rsidR="00366500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Алиев</w:t>
      </w: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,</w:t>
      </w:r>
      <w:r w:rsidR="00366500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="00204124" w:rsidRPr="0020412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соискатель кафедры международного права юридического факультета МГУ, главный специалист ФГБУ «Центр Агроаналитики» </w:t>
      </w:r>
    </w:p>
    <w:p w14:paraId="58A148ED" w14:textId="77777777" w:rsid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5FBB34EE" w14:textId="4CCE280D" w:rsidR="00366500" w:rsidRDefault="00366500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Правовые последствия вооруженных конфликтов немеждународного характера: некоторые вопросы теории и практики </w:t>
      </w:r>
    </w:p>
    <w:p w14:paraId="1BE36B31" w14:textId="7E9402ED" w:rsid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4E2F282D" w14:textId="2331CA36" w:rsidR="00204124" w:rsidRP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Современное международное право выработало определение вооруженного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конфликта немеждународного характера. Вместе с тем в доктрине отсутствует единая позиция по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поводу научного обоснования возможных участников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ВКНМХ, правовых последствий начала и окончания такого конфликта, основных направлений их международного и национального правового регулирования.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 рамках настоящей статьи автор подробно остановится на анализе некоторых правовых последствий начала и окончания вооруженного конфликта немеждународного характера.</w:t>
      </w:r>
    </w:p>
    <w:p w14:paraId="25581C98" w14:textId="77777777" w:rsid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F412CEB" w14:textId="39E54579" w:rsidR="00204124" w:rsidRP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0412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04124">
        <w:rPr>
          <w:rFonts w:ascii="Times New Roman" w:eastAsia="Newton-Regular" w:hAnsi="Times New Roman" w:cs="Times New Roman"/>
          <w:sz w:val="24"/>
          <w:szCs w:val="24"/>
          <w:lang w:val="ru-RU"/>
        </w:rPr>
        <w:t>вооруженный конфликт немеждународного характера,</w:t>
      </w:r>
      <w:r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Дополнительный протокол </w:t>
      </w:r>
      <w:r w:rsidRPr="00204124">
        <w:rPr>
          <w:rFonts w:ascii="Times New Roman" w:eastAsia="Newton-Regular" w:hAnsi="Times New Roman" w:cs="Times New Roman"/>
          <w:sz w:val="24"/>
          <w:szCs w:val="24"/>
        </w:rPr>
        <w:t>II</w:t>
      </w:r>
      <w:r w:rsidRPr="0020412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к Женевским конвенциям 1949 г., Минский</w:t>
      </w:r>
      <w:r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Regular" w:hAnsi="Times New Roman" w:cs="Times New Roman"/>
          <w:sz w:val="24"/>
          <w:szCs w:val="24"/>
          <w:lang w:val="ru-RU"/>
        </w:rPr>
        <w:t>протокол, задержанные, события на юго-востоке Украины, вооруженный</w:t>
      </w:r>
      <w:r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Regular" w:hAnsi="Times New Roman" w:cs="Times New Roman"/>
          <w:sz w:val="24"/>
          <w:szCs w:val="24"/>
          <w:lang w:val="ru-RU"/>
        </w:rPr>
        <w:t>конфликт в Чечне, соглашение о перемирии, широкая амнистия.</w:t>
      </w:r>
    </w:p>
    <w:p w14:paraId="4371B678" w14:textId="77777777" w:rsid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065A8F32" w14:textId="1E6AFA4D" w:rsidR="00204124" w:rsidRP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Contemporary international law has formulated the definition of a non-international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armed conflict. However, the doctrine does not yet have a unified position on the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scientific justification of possible participants in the non-international armed conflict,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the legal consequences of the beginning and end of such a conflict, the main directions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of their international and national legal regulation. In the framework of this article, the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author will elaborate on the analysis some of the legal consequences of the beginning and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end of a non-international armed conflict.</w:t>
      </w:r>
    </w:p>
    <w:p w14:paraId="6FA433C6" w14:textId="77777777" w:rsid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1B4486C6" w14:textId="2215BD32" w:rsidR="00204124" w:rsidRP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0412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204124">
        <w:rPr>
          <w:rFonts w:ascii="Times New Roman" w:eastAsia="Newton-Regular" w:hAnsi="Times New Roman" w:cs="Times New Roman"/>
          <w:sz w:val="24"/>
          <w:szCs w:val="24"/>
        </w:rPr>
        <w:t>non-international armed conflict, Additional Protocol II to the Geneva</w:t>
      </w:r>
      <w:r w:rsidRPr="0020412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04124">
        <w:rPr>
          <w:rFonts w:ascii="Times New Roman" w:eastAsia="Newton-Regular" w:hAnsi="Times New Roman" w:cs="Times New Roman"/>
          <w:sz w:val="24"/>
          <w:szCs w:val="24"/>
        </w:rPr>
        <w:t>Conventions of 1949, Minsk Protocol, detainees, events in the South-East of</w:t>
      </w:r>
      <w:r w:rsidRPr="0020412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04124">
        <w:rPr>
          <w:rFonts w:ascii="Times New Roman" w:eastAsia="Newton-Regular" w:hAnsi="Times New Roman" w:cs="Times New Roman"/>
          <w:sz w:val="24"/>
          <w:szCs w:val="24"/>
        </w:rPr>
        <w:t>Ukraine, armed conflict in Chechnya, armistice agreement, broad amnesty.</w:t>
      </w:r>
    </w:p>
    <w:p w14:paraId="0A995705" w14:textId="77777777" w:rsidR="00FC141E" w:rsidRPr="00204124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</w:rPr>
      </w:pPr>
    </w:p>
    <w:p w14:paraId="7867315A" w14:textId="0886C0BF" w:rsidR="00FC141E" w:rsidRPr="00204124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О.С. </w:t>
      </w:r>
      <w:r w:rsidR="00BF516C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Роганова</w:t>
      </w: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,</w:t>
      </w:r>
      <w:r w:rsidR="00BF516C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="00204124"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аспирантка кафедры гражданского права</w:t>
      </w:r>
      <w:r w:rsid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="00204124"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юридического факультета МГУ </w:t>
      </w:r>
    </w:p>
    <w:p w14:paraId="29D60964" w14:textId="77777777" w:rsid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097653A0" w14:textId="77777777" w:rsidR="00204124" w:rsidRDefault="00BF516C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О соотношении принципа самостоятельности и независимости юридического лица и ограниченной ответственности его учредителей (участников)</w:t>
      </w:r>
    </w:p>
    <w:p w14:paraId="1DBD9BDB" w14:textId="77777777" w:rsid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088A7020" w14:textId="64243F27" w:rsidR="00204124" w:rsidRP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Статья посвящена соотношению принципа самостоятельности и независимости юридического лица и ограниченной ответственности его участников.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 статье рассматривается как правовой, так и экономический взгляд на соотношение указанных категорий. Автор анализирует влияние эволюции принципа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ограниченной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ответственности и конструкции самостоятельной юридической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личности на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lastRenderedPageBreak/>
        <w:t>современные механизмы защиты прав и интересов кредиторов. В заключение автор делает вывод, что ограниченная ответственность участников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юридического лица стала необходимым признаком юридического лица как самостоятельного и независимого субъекта правоотношений, что требует постоянного регулирования и совершенствования системы защиты прав и интересов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кредиторов юридического лица и необходимости поддержания баланса интересов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участников корпоративных правоотношений с учетом особенностей национального права.</w:t>
      </w:r>
    </w:p>
    <w:p w14:paraId="1FDC8A1E" w14:textId="77777777" w:rsid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B241D7F" w14:textId="220E0D50" w:rsidR="00204124" w:rsidRP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0412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04124">
        <w:rPr>
          <w:rFonts w:ascii="Times New Roman" w:eastAsia="Newton-Regular" w:hAnsi="Times New Roman" w:cs="Times New Roman"/>
          <w:sz w:val="24"/>
          <w:szCs w:val="24"/>
          <w:lang w:val="ru-RU"/>
        </w:rPr>
        <w:t>независимость и самостоятельность юридического лица,</w:t>
      </w:r>
      <w:r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Regular" w:hAnsi="Times New Roman" w:cs="Times New Roman"/>
          <w:sz w:val="24"/>
          <w:szCs w:val="24"/>
          <w:lang w:val="ru-RU"/>
        </w:rPr>
        <w:t>ограниченная ответственность, снятие корпоративных покровов, защита прав</w:t>
      </w:r>
      <w:r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204124">
        <w:rPr>
          <w:rFonts w:ascii="Times New Roman" w:eastAsia="Newton-Regular" w:hAnsi="Times New Roman" w:cs="Times New Roman"/>
          <w:sz w:val="24"/>
          <w:szCs w:val="24"/>
          <w:lang w:val="ru-RU"/>
        </w:rPr>
        <w:t>и интересов кредиторов.</w:t>
      </w:r>
    </w:p>
    <w:p w14:paraId="6E9567E4" w14:textId="77777777" w:rsid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05BA6028" w14:textId="2EEE619E" w:rsidR="00204124" w:rsidRPr="00204124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is devoted to the relation between the principle of independence and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separateness of a legal entity and the limited liability of its members. The article describes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both legal and economic views on the relationship of these categories. The author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analyses the influence of evolution of the principle of limited liability and legal personality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on modern mechanisms for protecting the rights and interests of creditors. In the end,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the author concludes that limited liability has become one of the basic characteristics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of a legal entity that required constant regulation and improvement of mechanisms for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protecting the rights and interests of creditors of companies and the need to maintain the</w:t>
      </w:r>
      <w:r w:rsidR="00B617CA"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balance of interests of the participants of corporate relationships taking into account the</w:t>
      </w:r>
      <w:r w:rsidR="00B617CA"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04124">
        <w:rPr>
          <w:rFonts w:ascii="Times New Roman" w:eastAsia="Newton-Italic" w:hAnsi="Times New Roman" w:cs="Times New Roman"/>
          <w:i/>
          <w:iCs/>
          <w:sz w:val="24"/>
          <w:szCs w:val="24"/>
        </w:rPr>
        <w:t>national law.</w:t>
      </w:r>
    </w:p>
    <w:p w14:paraId="149A3E78" w14:textId="77777777" w:rsidR="00B617CA" w:rsidRDefault="00BF516C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</w:rPr>
      </w:pPr>
      <w:r w:rsidRPr="00204124">
        <w:rPr>
          <w:rFonts w:ascii="Times New Roman" w:eastAsia="Newton-Regular" w:hAnsi="Times New Roman" w:cs="Times New Roman"/>
          <w:b/>
          <w:bCs/>
          <w:sz w:val="24"/>
          <w:szCs w:val="24"/>
        </w:rPr>
        <w:t xml:space="preserve"> </w:t>
      </w:r>
    </w:p>
    <w:p w14:paraId="52F5F4A1" w14:textId="4879EE6D" w:rsidR="00BF516C" w:rsidRPr="00B617CA" w:rsidRDefault="00204124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0412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204124">
        <w:rPr>
          <w:rFonts w:ascii="Times New Roman" w:eastAsia="Newton-Regular" w:hAnsi="Times New Roman" w:cs="Times New Roman"/>
          <w:sz w:val="24"/>
          <w:szCs w:val="24"/>
        </w:rPr>
        <w:t>independence and separateness of companies, separate legal personality,</w:t>
      </w:r>
      <w:r w:rsidR="00B617CA" w:rsidRPr="00B617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04124">
        <w:rPr>
          <w:rFonts w:ascii="Times New Roman" w:eastAsia="Newton-Regular" w:hAnsi="Times New Roman" w:cs="Times New Roman"/>
          <w:sz w:val="24"/>
          <w:szCs w:val="24"/>
        </w:rPr>
        <w:t>limited liability, piercing the corporate veil, protection of rights and interests of</w:t>
      </w:r>
      <w:r w:rsidR="00B617CA" w:rsidRPr="00B617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04124">
        <w:rPr>
          <w:rFonts w:ascii="Times New Roman" w:eastAsia="Newton-Regular" w:hAnsi="Times New Roman" w:cs="Times New Roman"/>
          <w:sz w:val="24"/>
          <w:szCs w:val="24"/>
        </w:rPr>
        <w:t>the creditors of companies.</w:t>
      </w:r>
    </w:p>
    <w:p w14:paraId="39A1D599" w14:textId="77777777" w:rsidR="00FC141E" w:rsidRPr="00B617CA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25F27AF6" w14:textId="0A492A13" w:rsidR="00FC141E" w:rsidRPr="00B617CA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А.Н. </w:t>
      </w:r>
      <w:r w:rsidR="00BF516C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Попова</w:t>
      </w: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,</w:t>
      </w:r>
      <w:r w:rsidR="00BF516C"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="00B617CA" w:rsidRPr="00B617CA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аспирантка кафедры международного права юридического факультета МГУ</w:t>
      </w:r>
      <w:r w:rsidR="00B617CA" w:rsidRPr="00B617CA">
        <w:rPr>
          <w:rFonts w:ascii="Newton-Italic" w:eastAsia="Newton-Italic" w:cs="Newton-Italic"/>
          <w:i/>
          <w:iCs/>
          <w:color w:val="000000"/>
          <w:sz w:val="19"/>
          <w:szCs w:val="19"/>
          <w:lang w:val="ru-RU"/>
        </w:rPr>
        <w:t xml:space="preserve"> </w:t>
      </w:r>
      <w:r w:rsidR="00B617CA" w:rsidRPr="00B617CA">
        <w:rPr>
          <w:rFonts w:ascii="Newton-Italic" w:eastAsia="Newton-Italic" w:cs="Newton-Italic"/>
          <w:i/>
          <w:iCs/>
          <w:color w:val="FFFFFF"/>
          <w:sz w:val="11"/>
          <w:szCs w:val="11"/>
          <w:lang w:val="ru-RU"/>
        </w:rPr>
        <w:t>0</w:t>
      </w:r>
    </w:p>
    <w:p w14:paraId="2D7DE495" w14:textId="77777777" w:rsidR="00FC141E" w:rsidRDefault="00FC141E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332B4046" w14:textId="33DFCA8F" w:rsidR="00BF516C" w:rsidRDefault="00BF516C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Досудебные формализованные механизмы рассмотрения споров международных межправительственных организаций с их</w:t>
      </w: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C141E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служащими </w:t>
      </w:r>
    </w:p>
    <w:p w14:paraId="2B6A9782" w14:textId="33431B9C" w:rsidR="00B617CA" w:rsidRDefault="00B617CA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018146CF" w14:textId="03692CEE" w:rsidR="00B617CA" w:rsidRPr="00B617CA" w:rsidRDefault="00B617CA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Как в отечественной, так и в зарубежной правовой литературе вопросы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деятельности механизмов по рассмотрению споров международных организаций с их служащими остаются недостаточно исследованными. В настоящей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статье автор освещает действие досудебных формализованных механизмов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урегулирования данных споров. Автор исследует организацию и порядок функционирования механизма внутреннего административного пересмотра решений,</w:t>
      </w:r>
      <w:r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затрагивающих права международных служащих, а также механизма коллегиальной оценки оспариваемого решения, действия или бездействия международной организации.</w:t>
      </w:r>
    </w:p>
    <w:p w14:paraId="4E921587" w14:textId="77777777" w:rsidR="00B617CA" w:rsidRDefault="00B617CA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0871128" w14:textId="385B4413" w:rsidR="00B617CA" w:rsidRPr="00B617CA" w:rsidRDefault="00B617CA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B617CA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B617CA">
        <w:rPr>
          <w:rFonts w:ascii="Times New Roman" w:eastAsia="Newton-Regular" w:hAnsi="Times New Roman" w:cs="Times New Roman"/>
          <w:sz w:val="24"/>
          <w:szCs w:val="24"/>
          <w:lang w:val="ru-RU"/>
        </w:rPr>
        <w:t>международные служащие, формализованные и неформализованные механизмы, административный пересмотр, коллегиальная</w:t>
      </w:r>
      <w:r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B617CA">
        <w:rPr>
          <w:rFonts w:ascii="Times New Roman" w:eastAsia="Newton-Regular" w:hAnsi="Times New Roman" w:cs="Times New Roman"/>
          <w:sz w:val="24"/>
          <w:szCs w:val="24"/>
          <w:lang w:val="ru-RU"/>
        </w:rPr>
        <w:t>оценка, квазисудебный орган, Группа управленческой оценки, Департамент</w:t>
      </w:r>
      <w:r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B617CA">
        <w:rPr>
          <w:rFonts w:ascii="Times New Roman" w:eastAsia="Newton-Regular" w:hAnsi="Times New Roman" w:cs="Times New Roman"/>
          <w:sz w:val="24"/>
          <w:szCs w:val="24"/>
          <w:lang w:val="ru-RU"/>
        </w:rPr>
        <w:t>по вопросам персонала.</w:t>
      </w:r>
    </w:p>
    <w:p w14:paraId="1DB00088" w14:textId="77777777" w:rsidR="00B617CA" w:rsidRDefault="00B617CA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4A09CB4F" w14:textId="218CD312" w:rsidR="00B617CA" w:rsidRPr="00B617CA" w:rsidRDefault="00B617CA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>The mechanisms for resolving disputes between international organizations and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>their servants haven’t been deeply studied yet in both Russian and foreign legal literature.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covers the pre-litigation formal mechanisms for resolving this type of disputes.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The author examines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lastRenderedPageBreak/>
        <w:t>organization and functioning of mechanism for administrative review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>of the decisions affecting the rights of international civil servants, as well as peer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B617CA">
        <w:rPr>
          <w:rFonts w:ascii="Times New Roman" w:eastAsia="Newton-Italic" w:hAnsi="Times New Roman" w:cs="Times New Roman"/>
          <w:i/>
          <w:iCs/>
          <w:sz w:val="24"/>
          <w:szCs w:val="24"/>
        </w:rPr>
        <w:t>review mechanism.</w:t>
      </w:r>
    </w:p>
    <w:p w14:paraId="7A1B8AD5" w14:textId="77777777" w:rsidR="00B617CA" w:rsidRDefault="00B617CA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60366D32" w14:textId="369F44E9" w:rsidR="00F72381" w:rsidRPr="00B617CA" w:rsidRDefault="00B617CA" w:rsidP="00B6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B617CA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B617CA">
        <w:rPr>
          <w:rFonts w:ascii="Times New Roman" w:eastAsia="Newton-Regular" w:hAnsi="Times New Roman" w:cs="Times New Roman"/>
          <w:sz w:val="24"/>
          <w:szCs w:val="24"/>
        </w:rPr>
        <w:t>international servants, formal and informal mechanisms, administrative</w:t>
      </w:r>
      <w:r w:rsidRPr="00B617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617CA">
        <w:rPr>
          <w:rFonts w:ascii="Times New Roman" w:eastAsia="Newton-Regular" w:hAnsi="Times New Roman" w:cs="Times New Roman"/>
          <w:sz w:val="24"/>
          <w:szCs w:val="24"/>
        </w:rPr>
        <w:t>review, peer review, quasi-judicial authority, Management Evaluation Unit,</w:t>
      </w:r>
      <w:r w:rsidRPr="00B617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617CA">
        <w:rPr>
          <w:rFonts w:ascii="Times New Roman" w:eastAsia="Newton-Regular" w:hAnsi="Times New Roman" w:cs="Times New Roman"/>
          <w:sz w:val="24"/>
          <w:szCs w:val="24"/>
        </w:rPr>
        <w:t>Human Resources Department</w:t>
      </w:r>
      <w:bookmarkEnd w:id="0"/>
      <w:r w:rsidRPr="00B617CA">
        <w:rPr>
          <w:rFonts w:ascii="Times New Roman" w:eastAsia="Newton-Regular" w:hAnsi="Times New Roman" w:cs="Times New Roman"/>
          <w:sz w:val="24"/>
          <w:szCs w:val="24"/>
        </w:rPr>
        <w:t>.</w:t>
      </w:r>
    </w:p>
    <w:sectPr w:rsidR="00F72381" w:rsidRPr="00B617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ton-Italic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Newton-Regular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Newton-BoldItalic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012EC"/>
    <w:rsid w:val="00011986"/>
    <w:rsid w:val="00020C44"/>
    <w:rsid w:val="00026E75"/>
    <w:rsid w:val="00040FAA"/>
    <w:rsid w:val="00041D9B"/>
    <w:rsid w:val="0004656D"/>
    <w:rsid w:val="000468D5"/>
    <w:rsid w:val="000575A3"/>
    <w:rsid w:val="00060BC5"/>
    <w:rsid w:val="00094A79"/>
    <w:rsid w:val="000B3344"/>
    <w:rsid w:val="000D7D1A"/>
    <w:rsid w:val="00117044"/>
    <w:rsid w:val="00121AAA"/>
    <w:rsid w:val="00132FA1"/>
    <w:rsid w:val="001450AB"/>
    <w:rsid w:val="001628F7"/>
    <w:rsid w:val="00163605"/>
    <w:rsid w:val="00186181"/>
    <w:rsid w:val="001B351B"/>
    <w:rsid w:val="001C58F5"/>
    <w:rsid w:val="00200B4E"/>
    <w:rsid w:val="00204124"/>
    <w:rsid w:val="0021354D"/>
    <w:rsid w:val="0024680C"/>
    <w:rsid w:val="002554BF"/>
    <w:rsid w:val="002578E0"/>
    <w:rsid w:val="00276CA3"/>
    <w:rsid w:val="002917C7"/>
    <w:rsid w:val="002958C3"/>
    <w:rsid w:val="002972C0"/>
    <w:rsid w:val="002A43EF"/>
    <w:rsid w:val="002C56F1"/>
    <w:rsid w:val="002D15A8"/>
    <w:rsid w:val="002D4A7C"/>
    <w:rsid w:val="002F1B6B"/>
    <w:rsid w:val="0031535D"/>
    <w:rsid w:val="00334CF7"/>
    <w:rsid w:val="0035538D"/>
    <w:rsid w:val="00366500"/>
    <w:rsid w:val="00366892"/>
    <w:rsid w:val="00366C5D"/>
    <w:rsid w:val="003C1349"/>
    <w:rsid w:val="003C1B4C"/>
    <w:rsid w:val="003C485A"/>
    <w:rsid w:val="003D349C"/>
    <w:rsid w:val="003E028C"/>
    <w:rsid w:val="00410E59"/>
    <w:rsid w:val="00412688"/>
    <w:rsid w:val="0041777B"/>
    <w:rsid w:val="00480682"/>
    <w:rsid w:val="00485066"/>
    <w:rsid w:val="004A3297"/>
    <w:rsid w:val="004E0064"/>
    <w:rsid w:val="004E63EA"/>
    <w:rsid w:val="00523270"/>
    <w:rsid w:val="0052501C"/>
    <w:rsid w:val="005379FA"/>
    <w:rsid w:val="00542501"/>
    <w:rsid w:val="00551DFF"/>
    <w:rsid w:val="005734A5"/>
    <w:rsid w:val="0057765B"/>
    <w:rsid w:val="00587AC5"/>
    <w:rsid w:val="005B2726"/>
    <w:rsid w:val="005D07A8"/>
    <w:rsid w:val="005E23C8"/>
    <w:rsid w:val="00602221"/>
    <w:rsid w:val="0060720B"/>
    <w:rsid w:val="0062793D"/>
    <w:rsid w:val="00654853"/>
    <w:rsid w:val="006666B4"/>
    <w:rsid w:val="006B0B3F"/>
    <w:rsid w:val="006B354F"/>
    <w:rsid w:val="00700213"/>
    <w:rsid w:val="00702F94"/>
    <w:rsid w:val="007072EB"/>
    <w:rsid w:val="007102D2"/>
    <w:rsid w:val="00711F8E"/>
    <w:rsid w:val="00792819"/>
    <w:rsid w:val="0079686C"/>
    <w:rsid w:val="007B3A7A"/>
    <w:rsid w:val="007C357E"/>
    <w:rsid w:val="007D17F2"/>
    <w:rsid w:val="007D21D4"/>
    <w:rsid w:val="007E660E"/>
    <w:rsid w:val="007F750C"/>
    <w:rsid w:val="00801C25"/>
    <w:rsid w:val="00815CFD"/>
    <w:rsid w:val="008225B5"/>
    <w:rsid w:val="00827557"/>
    <w:rsid w:val="00853D56"/>
    <w:rsid w:val="00885983"/>
    <w:rsid w:val="008A7E3E"/>
    <w:rsid w:val="008D620F"/>
    <w:rsid w:val="00904493"/>
    <w:rsid w:val="00906B38"/>
    <w:rsid w:val="009151F1"/>
    <w:rsid w:val="00932E66"/>
    <w:rsid w:val="00934FCF"/>
    <w:rsid w:val="00967529"/>
    <w:rsid w:val="00975A63"/>
    <w:rsid w:val="00976620"/>
    <w:rsid w:val="0097754B"/>
    <w:rsid w:val="00993E1C"/>
    <w:rsid w:val="009961D9"/>
    <w:rsid w:val="009A7B6B"/>
    <w:rsid w:val="009B5E0D"/>
    <w:rsid w:val="009E2CF3"/>
    <w:rsid w:val="00A15428"/>
    <w:rsid w:val="00A252D7"/>
    <w:rsid w:val="00AA12D9"/>
    <w:rsid w:val="00AA738C"/>
    <w:rsid w:val="00AA7723"/>
    <w:rsid w:val="00AD264E"/>
    <w:rsid w:val="00B138A6"/>
    <w:rsid w:val="00B33674"/>
    <w:rsid w:val="00B524F9"/>
    <w:rsid w:val="00B5284B"/>
    <w:rsid w:val="00B537D9"/>
    <w:rsid w:val="00B560CC"/>
    <w:rsid w:val="00B617CA"/>
    <w:rsid w:val="00B61BE9"/>
    <w:rsid w:val="00BB7690"/>
    <w:rsid w:val="00BC0727"/>
    <w:rsid w:val="00BF432B"/>
    <w:rsid w:val="00BF516C"/>
    <w:rsid w:val="00BF555A"/>
    <w:rsid w:val="00C22AE6"/>
    <w:rsid w:val="00C41462"/>
    <w:rsid w:val="00C520B7"/>
    <w:rsid w:val="00C77EE3"/>
    <w:rsid w:val="00C83DCB"/>
    <w:rsid w:val="00CA0B9E"/>
    <w:rsid w:val="00CB53A7"/>
    <w:rsid w:val="00CE5D22"/>
    <w:rsid w:val="00CF5C46"/>
    <w:rsid w:val="00D369A1"/>
    <w:rsid w:val="00DB141C"/>
    <w:rsid w:val="00DC3BFC"/>
    <w:rsid w:val="00DD4AFC"/>
    <w:rsid w:val="00DD59ED"/>
    <w:rsid w:val="00DE552A"/>
    <w:rsid w:val="00E04B00"/>
    <w:rsid w:val="00E0538C"/>
    <w:rsid w:val="00E062CF"/>
    <w:rsid w:val="00E21BE2"/>
    <w:rsid w:val="00E4785A"/>
    <w:rsid w:val="00E75850"/>
    <w:rsid w:val="00E817FC"/>
    <w:rsid w:val="00EA31FB"/>
    <w:rsid w:val="00EA7167"/>
    <w:rsid w:val="00EB62E4"/>
    <w:rsid w:val="00EC3860"/>
    <w:rsid w:val="00EE0745"/>
    <w:rsid w:val="00F03D72"/>
    <w:rsid w:val="00F05828"/>
    <w:rsid w:val="00F26231"/>
    <w:rsid w:val="00F4097D"/>
    <w:rsid w:val="00F40F87"/>
    <w:rsid w:val="00F43719"/>
    <w:rsid w:val="00F60067"/>
    <w:rsid w:val="00F66A22"/>
    <w:rsid w:val="00F72381"/>
    <w:rsid w:val="00FA2E1E"/>
    <w:rsid w:val="00FB4CA7"/>
    <w:rsid w:val="00FB7488"/>
    <w:rsid w:val="00FC141E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819C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F4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3071</TotalTime>
  <Pages>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45</cp:revision>
  <dcterms:created xsi:type="dcterms:W3CDTF">2017-04-21T09:27:00Z</dcterms:created>
  <dcterms:modified xsi:type="dcterms:W3CDTF">2019-12-20T16:48:00Z</dcterms:modified>
</cp:coreProperties>
</file>