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>Вестник Московского университета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Серия 11 Право 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Научный журнал 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Основан в ноябре 1946 г.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Издательство Московского университета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Выходит один раз в два месяца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79FA" w:rsidRDefault="009B5E0D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5E0D">
        <w:rPr>
          <w:rFonts w:ascii="Times New Roman" w:hAnsi="Times New Roman" w:cs="Times New Roman"/>
          <w:b/>
          <w:sz w:val="24"/>
          <w:szCs w:val="24"/>
          <w:lang w:val="ru-RU"/>
        </w:rPr>
        <w:t>№ 5 • 2018 • сентябрь–октябрь</w:t>
      </w:r>
    </w:p>
    <w:p w:rsidR="00EA31FB" w:rsidRDefault="00EA31FB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C58F5" w:rsidRDefault="001C58F5" w:rsidP="00EA3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58F5" w:rsidRDefault="00C22AE6" w:rsidP="00C2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4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В.А. </w:t>
      </w:r>
      <w:proofErr w:type="spellStart"/>
      <w:r w:rsidRPr="00DB141C">
        <w:rPr>
          <w:rFonts w:ascii="Times New Roman" w:hAnsi="Times New Roman" w:cs="Times New Roman"/>
          <w:b/>
          <w:sz w:val="24"/>
          <w:szCs w:val="24"/>
          <w:lang w:val="ru-RU"/>
        </w:rPr>
        <w:t>Томсинов</w:t>
      </w:r>
      <w:proofErr w:type="spellEnd"/>
      <w:r w:rsidRPr="00DB141C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C22A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2AE6">
        <w:rPr>
          <w:rFonts w:ascii="Times New Roman" w:hAnsi="Times New Roman" w:cs="Times New Roman"/>
          <w:i/>
          <w:sz w:val="24"/>
          <w:szCs w:val="24"/>
          <w:lang w:val="ru-RU"/>
        </w:rPr>
        <w:t>доктор юридических наук, профессор, заведующий кафедрой истории государства и права юридического факультета МГУ</w:t>
      </w:r>
      <w:r w:rsidR="001C58F5" w:rsidRPr="00C22AE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C22AE6" w:rsidRDefault="00C22AE6" w:rsidP="001C5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58F5" w:rsidRPr="00DB141C" w:rsidRDefault="001C58F5" w:rsidP="001C58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141C">
        <w:rPr>
          <w:rFonts w:ascii="Times New Roman" w:hAnsi="Times New Roman" w:cs="Times New Roman"/>
          <w:b/>
          <w:sz w:val="24"/>
          <w:szCs w:val="24"/>
          <w:lang w:val="ru-RU"/>
        </w:rPr>
        <w:t>Понятие договора в проекте Гражданского уложения</w:t>
      </w:r>
      <w:r w:rsidRPr="00DB14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B14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Российской империи конца XIX — начала XX века </w:t>
      </w:r>
    </w:p>
    <w:p w:rsidR="001C58F5" w:rsidRDefault="001C58F5" w:rsidP="001C5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2AE6" w:rsidRPr="00DB141C" w:rsidRDefault="00C22AE6" w:rsidP="00C22A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B141C">
        <w:rPr>
          <w:rFonts w:ascii="Times New Roman" w:hAnsi="Times New Roman" w:cs="Times New Roman"/>
          <w:i/>
          <w:sz w:val="24"/>
          <w:szCs w:val="24"/>
          <w:lang w:val="ru-RU"/>
        </w:rPr>
        <w:t>Статья посвящена разработке понятия договора при составлении проекта</w:t>
      </w:r>
      <w:r w:rsidR="00DB141C" w:rsidRPr="00DB14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B141C">
        <w:rPr>
          <w:rFonts w:ascii="Times New Roman" w:hAnsi="Times New Roman" w:cs="Times New Roman"/>
          <w:i/>
          <w:sz w:val="24"/>
          <w:szCs w:val="24"/>
          <w:lang w:val="ru-RU"/>
        </w:rPr>
        <w:t>Гражданского уложения Российской империи в конце XIX — начале ХХ века.</w:t>
      </w:r>
    </w:p>
    <w:p w:rsidR="00C22AE6" w:rsidRPr="00C22AE6" w:rsidRDefault="00C22AE6" w:rsidP="00C2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41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C22AE6">
        <w:rPr>
          <w:rFonts w:ascii="Times New Roman" w:hAnsi="Times New Roman" w:cs="Times New Roman"/>
          <w:sz w:val="24"/>
          <w:szCs w:val="24"/>
          <w:lang w:val="ru-RU"/>
        </w:rPr>
        <w:t>Гражданское право России, проект Гражданского уложения Российской империи, обязательственное право, договор.</w:t>
      </w:r>
    </w:p>
    <w:p w:rsidR="00DB141C" w:rsidRDefault="00DB141C" w:rsidP="00C2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AE6" w:rsidRPr="00DB141C" w:rsidRDefault="00C22AE6" w:rsidP="00C22A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41C">
        <w:rPr>
          <w:rFonts w:ascii="Times New Roman" w:hAnsi="Times New Roman" w:cs="Times New Roman"/>
          <w:i/>
          <w:sz w:val="24"/>
          <w:szCs w:val="24"/>
        </w:rPr>
        <w:t>The article is devoted to the development of the concept of the contract in the drafting</w:t>
      </w:r>
      <w:r w:rsidR="00DB141C" w:rsidRPr="00DB14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41C">
        <w:rPr>
          <w:rFonts w:ascii="Times New Roman" w:hAnsi="Times New Roman" w:cs="Times New Roman"/>
          <w:i/>
          <w:sz w:val="24"/>
          <w:szCs w:val="24"/>
        </w:rPr>
        <w:t>of the civil code of the Russian Empire in the late XIX — early XX century.</w:t>
      </w:r>
    </w:p>
    <w:p w:rsidR="00C22AE6" w:rsidRPr="00DB141C" w:rsidRDefault="00C22AE6" w:rsidP="00C2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1C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C22AE6">
        <w:rPr>
          <w:rFonts w:ascii="Times New Roman" w:hAnsi="Times New Roman" w:cs="Times New Roman"/>
          <w:sz w:val="24"/>
          <w:szCs w:val="24"/>
        </w:rPr>
        <w:t xml:space="preserve"> Civil law of Russia, draft Civil code of the Russian Empire, law of</w:t>
      </w:r>
      <w:r w:rsidR="00DB141C" w:rsidRPr="00DB141C">
        <w:rPr>
          <w:rFonts w:ascii="Times New Roman" w:hAnsi="Times New Roman" w:cs="Times New Roman"/>
          <w:sz w:val="24"/>
          <w:szCs w:val="24"/>
        </w:rPr>
        <w:t xml:space="preserve"> </w:t>
      </w:r>
      <w:r w:rsidRPr="00DB141C">
        <w:rPr>
          <w:rFonts w:ascii="Times New Roman" w:hAnsi="Times New Roman" w:cs="Times New Roman"/>
          <w:sz w:val="24"/>
          <w:szCs w:val="24"/>
        </w:rPr>
        <w:t>obligations, contract.</w:t>
      </w:r>
    </w:p>
    <w:p w:rsidR="00B5284B" w:rsidRPr="00DB141C" w:rsidRDefault="00B5284B" w:rsidP="001C5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F5" w:rsidRPr="001C58F5" w:rsidRDefault="001C58F5" w:rsidP="001C5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8F5">
        <w:rPr>
          <w:rFonts w:ascii="Times New Roman" w:hAnsi="Times New Roman" w:cs="Times New Roman"/>
          <w:sz w:val="24"/>
          <w:szCs w:val="24"/>
          <w:lang w:val="ru-RU"/>
        </w:rPr>
        <w:t>Вопросы уголовного права и процесса</w:t>
      </w:r>
    </w:p>
    <w:p w:rsidR="001C58F5" w:rsidRDefault="001C58F5" w:rsidP="001C5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284B" w:rsidRPr="00B5284B" w:rsidRDefault="00B5284B" w:rsidP="00B5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41C">
        <w:rPr>
          <w:rFonts w:ascii="Times New Roman" w:hAnsi="Times New Roman" w:cs="Times New Roman"/>
          <w:b/>
          <w:sz w:val="24"/>
          <w:szCs w:val="24"/>
          <w:lang w:val="ru-RU"/>
        </w:rPr>
        <w:t>Н.А</w:t>
      </w:r>
      <w:r w:rsidRPr="00DB1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B141C">
        <w:rPr>
          <w:rFonts w:ascii="Times New Roman" w:hAnsi="Times New Roman" w:cs="Times New Roman"/>
          <w:b/>
          <w:sz w:val="24"/>
          <w:szCs w:val="24"/>
          <w:lang w:val="ru-RU"/>
        </w:rPr>
        <w:t>Крашенинникова,</w:t>
      </w:r>
      <w:r w:rsidRPr="00DB14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доктор юридических наук, профессор кафедры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истории государства и права юридического факультета МГУ</w:t>
      </w:r>
      <w:r w:rsidRPr="00B528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C58F5" w:rsidRDefault="00B5284B" w:rsidP="00B5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4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Е.Н. </w:t>
      </w:r>
      <w:proofErr w:type="spellStart"/>
      <w:r w:rsidRPr="00DB141C">
        <w:rPr>
          <w:rFonts w:ascii="Times New Roman" w:hAnsi="Times New Roman" w:cs="Times New Roman"/>
          <w:b/>
          <w:sz w:val="24"/>
          <w:szCs w:val="24"/>
          <w:lang w:val="ru-RU"/>
        </w:rPr>
        <w:t>Трикоз</w:t>
      </w:r>
      <w:proofErr w:type="spellEnd"/>
      <w:r w:rsidRPr="00DB141C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кандидат юридических наук, доцент кафедры теории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права и сравнительного правоведения Московского государственного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института международных отношений (Университета) МИД России,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доцент кафедры истории права и государства Российского университета дружбы народов </w:t>
      </w:r>
    </w:p>
    <w:p w:rsidR="00B5284B" w:rsidRDefault="00B5284B" w:rsidP="001C5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58F5" w:rsidRDefault="001C58F5" w:rsidP="001C5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41C">
        <w:rPr>
          <w:rFonts w:ascii="Times New Roman" w:hAnsi="Times New Roman" w:cs="Times New Roman"/>
          <w:b/>
          <w:sz w:val="24"/>
          <w:szCs w:val="24"/>
          <w:lang w:val="ru-RU"/>
        </w:rPr>
        <w:t>Система исключающих ответственность обстоятельств в УК Индии</w:t>
      </w:r>
      <w:r w:rsidRPr="00DB14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(статья первая)  </w:t>
      </w:r>
    </w:p>
    <w:p w:rsidR="001C58F5" w:rsidRDefault="001C58F5" w:rsidP="00EA3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2E1E" w:rsidRDefault="00B5284B" w:rsidP="00B528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B14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статье проводится технико-юридический анализ </w:t>
      </w:r>
      <w:proofErr w:type="spellStart"/>
      <w:r w:rsidRPr="00DB141C">
        <w:rPr>
          <w:rFonts w:ascii="Times New Roman" w:hAnsi="Times New Roman" w:cs="Times New Roman"/>
          <w:i/>
          <w:sz w:val="24"/>
          <w:szCs w:val="24"/>
          <w:lang w:val="ru-RU"/>
        </w:rPr>
        <w:t>субинститута</w:t>
      </w:r>
      <w:proofErr w:type="spellEnd"/>
      <w:r w:rsidRPr="00DB14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обстоятельств — защит, предусмотренных в Уголовном кодексе Индии в целях гуманизации и большей индивидуализации уголовно-правового регулирования. На</w:t>
      </w:r>
      <w:r w:rsidR="00DB141C" w:rsidRPr="00DB14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B141C">
        <w:rPr>
          <w:rFonts w:ascii="Times New Roman" w:hAnsi="Times New Roman" w:cs="Times New Roman"/>
          <w:i/>
          <w:sz w:val="24"/>
          <w:szCs w:val="24"/>
          <w:lang w:val="ru-RU"/>
        </w:rPr>
        <w:t>основе диспозиций статутных норм (дефиниций, условий правомерности и др.)</w:t>
      </w:r>
      <w:r w:rsidR="00DB141C" w:rsidRPr="00DB14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B141C">
        <w:rPr>
          <w:rFonts w:ascii="Times New Roman" w:hAnsi="Times New Roman" w:cs="Times New Roman"/>
          <w:i/>
          <w:sz w:val="24"/>
          <w:szCs w:val="24"/>
          <w:lang w:val="ru-RU"/>
        </w:rPr>
        <w:t>и прецедентных решений как индийских, так и английских судов, учитывая колониальное прошлое страны и гибридный характер ее уголовно-правовой модели,</w:t>
      </w:r>
      <w:r w:rsidR="00DB141C" w:rsidRPr="00DB14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B141C">
        <w:rPr>
          <w:rFonts w:ascii="Times New Roman" w:hAnsi="Times New Roman" w:cs="Times New Roman"/>
          <w:i/>
          <w:sz w:val="24"/>
          <w:szCs w:val="24"/>
          <w:lang w:val="ru-RU"/>
        </w:rPr>
        <w:t>исследуются основные характеристики системы обстоятельств, исключающих</w:t>
      </w:r>
      <w:r w:rsidR="00DB141C" w:rsidRPr="00DB14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B141C">
        <w:rPr>
          <w:rFonts w:ascii="Times New Roman" w:hAnsi="Times New Roman" w:cs="Times New Roman"/>
          <w:i/>
          <w:sz w:val="24"/>
          <w:szCs w:val="24"/>
          <w:lang w:val="ru-RU"/>
        </w:rPr>
        <w:t>ответственность по УК Индии. В первой части статьи сделан акцент на подсистеме «извинительных обстоятельств» (</w:t>
      </w:r>
      <w:proofErr w:type="spellStart"/>
      <w:r w:rsidRPr="00DB141C">
        <w:rPr>
          <w:rFonts w:ascii="Times New Roman" w:hAnsi="Times New Roman" w:cs="Times New Roman"/>
          <w:i/>
          <w:sz w:val="24"/>
          <w:szCs w:val="24"/>
          <w:lang w:val="ru-RU"/>
        </w:rPr>
        <w:t>excuse</w:t>
      </w:r>
      <w:proofErr w:type="spellEnd"/>
      <w:r w:rsidRPr="00DB14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DB141C">
        <w:rPr>
          <w:rFonts w:ascii="Times New Roman" w:hAnsi="Times New Roman" w:cs="Times New Roman"/>
          <w:i/>
          <w:sz w:val="24"/>
          <w:szCs w:val="24"/>
          <w:lang w:val="ru-RU"/>
        </w:rPr>
        <w:t>defences</w:t>
      </w:r>
      <w:proofErr w:type="spellEnd"/>
      <w:r w:rsidRPr="00DB141C">
        <w:rPr>
          <w:rFonts w:ascii="Times New Roman" w:hAnsi="Times New Roman" w:cs="Times New Roman"/>
          <w:i/>
          <w:sz w:val="24"/>
          <w:szCs w:val="24"/>
          <w:lang w:val="ru-RU"/>
        </w:rPr>
        <w:t>), исключающих вину</w:t>
      </w:r>
      <w:r w:rsidR="00DB141C" w:rsidRPr="00DB14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B141C">
        <w:rPr>
          <w:rFonts w:ascii="Times New Roman" w:hAnsi="Times New Roman" w:cs="Times New Roman"/>
          <w:i/>
          <w:sz w:val="24"/>
          <w:szCs w:val="24"/>
          <w:lang w:val="ru-RU"/>
        </w:rPr>
        <w:t>лица</w:t>
      </w:r>
      <w:r w:rsidR="00FA2E1E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B5284B" w:rsidRPr="00FA2E1E" w:rsidRDefault="00B5284B" w:rsidP="00B528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B141C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Ключевые слова:</w:t>
      </w:r>
      <w:r w:rsidRPr="00B5284B">
        <w:rPr>
          <w:rFonts w:ascii="Times New Roman" w:hAnsi="Times New Roman" w:cs="Times New Roman"/>
          <w:sz w:val="24"/>
          <w:szCs w:val="24"/>
          <w:lang w:val="ru-RU"/>
        </w:rPr>
        <w:t xml:space="preserve"> Уголовный кодекс Индии, уголовная ответственность,</w:t>
      </w:r>
      <w:r w:rsidR="00DB14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284B">
        <w:rPr>
          <w:rFonts w:ascii="Times New Roman" w:hAnsi="Times New Roman" w:cs="Times New Roman"/>
          <w:sz w:val="24"/>
          <w:szCs w:val="24"/>
          <w:lang w:val="ru-RU"/>
        </w:rPr>
        <w:t>исключающие обстоятельства, случай, ошибка в уголовном праве, отсутствие</w:t>
      </w:r>
      <w:r w:rsidR="00DB14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284B">
        <w:rPr>
          <w:rFonts w:ascii="Times New Roman" w:hAnsi="Times New Roman" w:cs="Times New Roman"/>
          <w:sz w:val="24"/>
          <w:szCs w:val="24"/>
          <w:lang w:val="ru-RU"/>
        </w:rPr>
        <w:t>преступного</w:t>
      </w:r>
      <w:r w:rsidRPr="00DB14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284B">
        <w:rPr>
          <w:rFonts w:ascii="Times New Roman" w:hAnsi="Times New Roman" w:cs="Times New Roman"/>
          <w:sz w:val="24"/>
          <w:szCs w:val="24"/>
          <w:lang w:val="ru-RU"/>
        </w:rPr>
        <w:t>намерения</w:t>
      </w:r>
      <w:r w:rsidRPr="00DB141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5284B">
        <w:rPr>
          <w:rFonts w:ascii="Times New Roman" w:hAnsi="Times New Roman" w:cs="Times New Roman"/>
          <w:sz w:val="24"/>
          <w:szCs w:val="24"/>
          <w:lang w:val="ru-RU"/>
        </w:rPr>
        <w:t>невменяемость</w:t>
      </w:r>
      <w:r w:rsidRPr="00DB14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B141C" w:rsidRPr="00FA2E1E" w:rsidRDefault="00DB141C" w:rsidP="00B5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284B" w:rsidRPr="00DB141C" w:rsidRDefault="00B5284B" w:rsidP="00B528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41C">
        <w:rPr>
          <w:rFonts w:ascii="Times New Roman" w:hAnsi="Times New Roman" w:cs="Times New Roman"/>
          <w:i/>
          <w:sz w:val="24"/>
          <w:szCs w:val="24"/>
        </w:rPr>
        <w:t>In the article, a technical legal analysis of the sub-institution of general exceptions</w:t>
      </w:r>
      <w:r w:rsidR="00DB141C" w:rsidRPr="00DB14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41C">
        <w:rPr>
          <w:rFonts w:ascii="Times New Roman" w:hAnsi="Times New Roman" w:cs="Times New Roman"/>
          <w:i/>
          <w:sz w:val="24"/>
          <w:szCs w:val="24"/>
        </w:rPr>
        <w:t xml:space="preserve">in the Indian Penal Code of 1860 is carried out. These circumstances are provided </w:t>
      </w:r>
      <w:proofErr w:type="gramStart"/>
      <w:r w:rsidRPr="00DB141C">
        <w:rPr>
          <w:rFonts w:ascii="Times New Roman" w:hAnsi="Times New Roman" w:cs="Times New Roman"/>
          <w:i/>
          <w:sz w:val="24"/>
          <w:szCs w:val="24"/>
        </w:rPr>
        <w:t>for</w:t>
      </w:r>
      <w:r w:rsidR="00DB141C" w:rsidRPr="00DB14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41C">
        <w:rPr>
          <w:rFonts w:ascii="Times New Roman" w:hAnsi="Times New Roman" w:cs="Times New Roman"/>
          <w:i/>
          <w:sz w:val="24"/>
          <w:szCs w:val="24"/>
        </w:rPr>
        <w:t>the purpose of</w:t>
      </w:r>
      <w:proofErr w:type="gramEnd"/>
      <w:r w:rsidRPr="00DB141C">
        <w:rPr>
          <w:rFonts w:ascii="Times New Roman" w:hAnsi="Times New Roman" w:cs="Times New Roman"/>
          <w:i/>
          <w:sz w:val="24"/>
          <w:szCs w:val="24"/>
        </w:rPr>
        <w:t xml:space="preserve"> humanization and individualization of criminal law regulation. </w:t>
      </w:r>
      <w:proofErr w:type="gramStart"/>
      <w:r w:rsidRPr="00DB141C">
        <w:rPr>
          <w:rFonts w:ascii="Times New Roman" w:hAnsi="Times New Roman" w:cs="Times New Roman"/>
          <w:i/>
          <w:sz w:val="24"/>
          <w:szCs w:val="24"/>
        </w:rPr>
        <w:t>On the</w:t>
      </w:r>
      <w:r w:rsidR="00DB141C" w:rsidRPr="00DB14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41C">
        <w:rPr>
          <w:rFonts w:ascii="Times New Roman" w:hAnsi="Times New Roman" w:cs="Times New Roman"/>
          <w:i/>
          <w:sz w:val="24"/>
          <w:szCs w:val="24"/>
        </w:rPr>
        <w:t>basis of</w:t>
      </w:r>
      <w:proofErr w:type="gramEnd"/>
      <w:r w:rsidRPr="00DB141C">
        <w:rPr>
          <w:rFonts w:ascii="Times New Roman" w:hAnsi="Times New Roman" w:cs="Times New Roman"/>
          <w:i/>
          <w:sz w:val="24"/>
          <w:szCs w:val="24"/>
        </w:rPr>
        <w:t xml:space="preserve"> statutory norms (definitions, conditions of lawfulness, etc.) and the precedent</w:t>
      </w:r>
      <w:r w:rsidR="00DB141C" w:rsidRPr="00DB14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41C">
        <w:rPr>
          <w:rFonts w:ascii="Times New Roman" w:hAnsi="Times New Roman" w:cs="Times New Roman"/>
          <w:i/>
          <w:sz w:val="24"/>
          <w:szCs w:val="24"/>
        </w:rPr>
        <w:t>decisions of both Indian and English courts, the main characteristics of the system of</w:t>
      </w:r>
      <w:r w:rsidR="00DB141C" w:rsidRPr="00DB14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41C">
        <w:rPr>
          <w:rFonts w:ascii="Times New Roman" w:hAnsi="Times New Roman" w:cs="Times New Roman"/>
          <w:i/>
          <w:sz w:val="24"/>
          <w:szCs w:val="24"/>
        </w:rPr>
        <w:t>general defences are examined. In the first part of this article, emphasis is placed on the</w:t>
      </w:r>
      <w:r w:rsidR="00DB141C" w:rsidRPr="00DB14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41C">
        <w:rPr>
          <w:rFonts w:ascii="Times New Roman" w:hAnsi="Times New Roman" w:cs="Times New Roman"/>
          <w:i/>
          <w:sz w:val="24"/>
          <w:szCs w:val="24"/>
        </w:rPr>
        <w:t>sub-system of excuse defences, which excluding the guilt of the person.</w:t>
      </w:r>
    </w:p>
    <w:p w:rsidR="00B5284B" w:rsidRPr="00B5284B" w:rsidRDefault="00B5284B" w:rsidP="00B5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1C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B5284B">
        <w:rPr>
          <w:rFonts w:ascii="Times New Roman" w:hAnsi="Times New Roman" w:cs="Times New Roman"/>
          <w:sz w:val="24"/>
          <w:szCs w:val="24"/>
        </w:rPr>
        <w:t xml:space="preserve"> Indian Penal Code, criminal responsibility, general defences, excuse defences,</w:t>
      </w:r>
      <w:r w:rsidR="00DB141C" w:rsidRPr="00DB141C">
        <w:rPr>
          <w:rFonts w:ascii="Times New Roman" w:hAnsi="Times New Roman" w:cs="Times New Roman"/>
          <w:sz w:val="24"/>
          <w:szCs w:val="24"/>
        </w:rPr>
        <w:t xml:space="preserve"> </w:t>
      </w:r>
      <w:r w:rsidRPr="00B5284B">
        <w:rPr>
          <w:rFonts w:ascii="Times New Roman" w:hAnsi="Times New Roman" w:cs="Times New Roman"/>
          <w:sz w:val="24"/>
          <w:szCs w:val="24"/>
        </w:rPr>
        <w:t>mistake, accident, absence of criminal intent, insanity.</w:t>
      </w:r>
    </w:p>
    <w:p w:rsidR="00B5284B" w:rsidRPr="00B5284B" w:rsidRDefault="00B5284B" w:rsidP="001C5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F5" w:rsidRPr="001C58F5" w:rsidRDefault="001C58F5" w:rsidP="001C5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8F5">
        <w:rPr>
          <w:rFonts w:ascii="Times New Roman" w:hAnsi="Times New Roman" w:cs="Times New Roman"/>
          <w:sz w:val="24"/>
          <w:szCs w:val="24"/>
          <w:lang w:val="ru-RU"/>
        </w:rPr>
        <w:t>Проблемы конституционного и муниципального права</w:t>
      </w:r>
    </w:p>
    <w:p w:rsidR="001C58F5" w:rsidRDefault="001C58F5" w:rsidP="001C5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58F5" w:rsidRDefault="00B5284B" w:rsidP="00B5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4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Е.В. </w:t>
      </w:r>
      <w:proofErr w:type="spellStart"/>
      <w:r w:rsidRPr="00DB141C">
        <w:rPr>
          <w:rFonts w:ascii="Times New Roman" w:hAnsi="Times New Roman" w:cs="Times New Roman"/>
          <w:b/>
          <w:sz w:val="24"/>
          <w:szCs w:val="24"/>
          <w:lang w:val="ru-RU"/>
        </w:rPr>
        <w:t>Тарибо</w:t>
      </w:r>
      <w:proofErr w:type="spellEnd"/>
      <w:r w:rsidRPr="00DB14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кандидат юридических наук, начальник Управления конституционных основ публичного права Конституционного Суда РФ,</w:t>
      </w:r>
      <w:r w:rsidR="00DB141C"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доцент кафедры административного и конституционного права Северо-Западного института управления РАНХиГС при Президенте РФ</w:t>
      </w:r>
      <w:r w:rsidR="00DB141C"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(г. Санкт-Петербург) </w:t>
      </w:r>
      <w:r w:rsidR="001C58F5" w:rsidRPr="001C58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C58F5" w:rsidRDefault="001C58F5" w:rsidP="001C5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58F5" w:rsidRPr="00DB141C" w:rsidRDefault="001C58F5" w:rsidP="001C58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14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Проблемы инициирования судебного конституционного </w:t>
      </w:r>
      <w:proofErr w:type="spellStart"/>
      <w:r w:rsidRPr="00DB141C">
        <w:rPr>
          <w:rFonts w:ascii="Times New Roman" w:hAnsi="Times New Roman" w:cs="Times New Roman"/>
          <w:b/>
          <w:sz w:val="24"/>
          <w:szCs w:val="24"/>
          <w:lang w:val="ru-RU"/>
        </w:rPr>
        <w:t>нормоконтроля</w:t>
      </w:r>
      <w:proofErr w:type="spellEnd"/>
      <w:r w:rsidRPr="00DB14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5284B" w:rsidRDefault="00B5284B" w:rsidP="00B5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284B" w:rsidRPr="00FA2E1E" w:rsidRDefault="00B5284B" w:rsidP="00B528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статье рассматриваются проблемы доступа к оспариванию конституционности нормативных правовых актов. Анализируя перечень субъектов, уполномоченных инициировать абстрактный конституционный </w:t>
      </w:r>
      <w:proofErr w:type="spellStart"/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нормоконтроль</w:t>
      </w:r>
      <w:proofErr w:type="spellEnd"/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, автор приходит к выводу о необходимости смягчения требований к допустимости</w:t>
      </w:r>
      <w:r w:rsidR="00DB141C"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запросов, направляемых парламентскими группами, запросов законодательных</w:t>
      </w:r>
      <w:r w:rsidR="00DB141C"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и исполнительных органов власти субъектов Российской Федерации, а также о</w:t>
      </w:r>
      <w:r w:rsidR="00DB141C"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целесообразности введения права на обращение в Конституционный Суд Российской Федерации общественных организаций, защищающих публичные интересы.</w:t>
      </w:r>
      <w:r w:rsidR="00DB141C"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По мнению автора, расширение возможностей по инициированию судебного</w:t>
      </w:r>
      <w:r w:rsidR="00DB141C"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конституционного </w:t>
      </w:r>
      <w:proofErr w:type="spellStart"/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нормоконтроля</w:t>
      </w:r>
      <w:proofErr w:type="spellEnd"/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могло бы стать дополнительным стимулом</w:t>
      </w:r>
      <w:r w:rsidR="00DB141C"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конституционной модернизации государства и способствовало бы развитию</w:t>
      </w:r>
      <w:r w:rsidR="00DB141C"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гражданского общества.</w:t>
      </w:r>
    </w:p>
    <w:p w:rsidR="00B5284B" w:rsidRPr="00DB141C" w:rsidRDefault="00B5284B" w:rsidP="00B5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41C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B5284B">
        <w:rPr>
          <w:rFonts w:ascii="Times New Roman" w:hAnsi="Times New Roman" w:cs="Times New Roman"/>
          <w:sz w:val="24"/>
          <w:szCs w:val="24"/>
          <w:lang w:val="ru-RU"/>
        </w:rPr>
        <w:t xml:space="preserve"> конституционное правосудие и судебный конституционный </w:t>
      </w:r>
      <w:proofErr w:type="spellStart"/>
      <w:r w:rsidRPr="00B5284B">
        <w:rPr>
          <w:rFonts w:ascii="Times New Roman" w:hAnsi="Times New Roman" w:cs="Times New Roman"/>
          <w:sz w:val="24"/>
          <w:szCs w:val="24"/>
          <w:lang w:val="ru-RU"/>
        </w:rPr>
        <w:t>нормоконтроль</w:t>
      </w:r>
      <w:proofErr w:type="spellEnd"/>
      <w:r w:rsidRPr="00B5284B">
        <w:rPr>
          <w:rFonts w:ascii="Times New Roman" w:hAnsi="Times New Roman" w:cs="Times New Roman"/>
          <w:sz w:val="24"/>
          <w:szCs w:val="24"/>
          <w:lang w:val="ru-RU"/>
        </w:rPr>
        <w:t>, Конституционный Суд Российской Федерации, доступ</w:t>
      </w:r>
      <w:r w:rsidRPr="00DB14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284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B14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284B">
        <w:rPr>
          <w:rFonts w:ascii="Times New Roman" w:hAnsi="Times New Roman" w:cs="Times New Roman"/>
          <w:sz w:val="24"/>
          <w:szCs w:val="24"/>
          <w:lang w:val="ru-RU"/>
        </w:rPr>
        <w:t>правосудию</w:t>
      </w:r>
      <w:r w:rsidRPr="00DB14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B141C" w:rsidRDefault="00DB141C" w:rsidP="00B5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84B" w:rsidRPr="00B5284B" w:rsidRDefault="00B5284B" w:rsidP="00B5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1E">
        <w:rPr>
          <w:rFonts w:ascii="Times New Roman" w:hAnsi="Times New Roman" w:cs="Times New Roman"/>
          <w:i/>
          <w:sz w:val="24"/>
          <w:szCs w:val="24"/>
        </w:rPr>
        <w:t>The article discusses the problems of access to challenging constitutionality of normative</w:t>
      </w:r>
      <w:r w:rsidR="00DB141C" w:rsidRPr="00FA2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</w:rPr>
        <w:t>legal acts. Analysing the list of subjects authorised to initiate an abstract constitutional</w:t>
      </w:r>
      <w:r w:rsidR="00DB141C" w:rsidRPr="00FA2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</w:rPr>
        <w:t>normative control, the author comes to the conclusion that it is necessary to ease</w:t>
      </w:r>
      <w:r w:rsidR="00DB141C" w:rsidRPr="00FA2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</w:rPr>
        <w:t>the requirements for the admissibility of requests sent by parliamentary groups, requests</w:t>
      </w:r>
      <w:r w:rsidR="00DB141C" w:rsidRPr="00FA2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</w:rPr>
        <w:t>of legislative and executive authorities of constituent entities of the Russian Federation,</w:t>
      </w:r>
      <w:r w:rsidR="00DB141C" w:rsidRPr="00FA2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</w:rPr>
        <w:t>and also comes to the conclusion that it is expedient to introduce the right to appeal to the</w:t>
      </w:r>
      <w:r w:rsidR="00DB141C" w:rsidRPr="00FA2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</w:rPr>
        <w:t>Constitutional Court of the Russian Federation to public organisations protecting public</w:t>
      </w:r>
      <w:r w:rsidR="00DB141C" w:rsidRPr="00FA2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</w:rPr>
        <w:t>interests. In the author's opinion such an expansion of opportunities to initiate judicial</w:t>
      </w:r>
      <w:r w:rsidR="00DB141C" w:rsidRPr="00FA2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</w:rPr>
        <w:t xml:space="preserve">constitutional normative control could become an additional </w:t>
      </w:r>
      <w:r w:rsidRPr="00FA2E1E">
        <w:rPr>
          <w:rFonts w:ascii="Times New Roman" w:hAnsi="Times New Roman" w:cs="Times New Roman"/>
          <w:i/>
          <w:sz w:val="24"/>
          <w:szCs w:val="24"/>
        </w:rPr>
        <w:lastRenderedPageBreak/>
        <w:t>incentive for constitutional</w:t>
      </w:r>
      <w:r w:rsidR="00DB141C" w:rsidRPr="00FA2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</w:rPr>
        <w:t>modernisation of the state and would contribute to development of civil society.</w:t>
      </w:r>
    </w:p>
    <w:p w:rsidR="00B5284B" w:rsidRPr="00B5284B" w:rsidRDefault="00B5284B" w:rsidP="00B5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1C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B5284B">
        <w:rPr>
          <w:rFonts w:ascii="Times New Roman" w:hAnsi="Times New Roman" w:cs="Times New Roman"/>
          <w:sz w:val="24"/>
          <w:szCs w:val="24"/>
        </w:rPr>
        <w:t xml:space="preserve"> constitutional adjudication and judicial constitutional normative</w:t>
      </w:r>
      <w:r w:rsidR="00DB141C" w:rsidRPr="00DB141C">
        <w:rPr>
          <w:rFonts w:ascii="Times New Roman" w:hAnsi="Times New Roman" w:cs="Times New Roman"/>
          <w:sz w:val="24"/>
          <w:szCs w:val="24"/>
        </w:rPr>
        <w:t xml:space="preserve"> </w:t>
      </w:r>
      <w:r w:rsidRPr="00B5284B">
        <w:rPr>
          <w:rFonts w:ascii="Times New Roman" w:hAnsi="Times New Roman" w:cs="Times New Roman"/>
          <w:sz w:val="24"/>
          <w:szCs w:val="24"/>
        </w:rPr>
        <w:t>control, Constitutional Court of the Russian Federation, access to justice.</w:t>
      </w:r>
    </w:p>
    <w:p w:rsidR="001C58F5" w:rsidRPr="00B5284B" w:rsidRDefault="001C58F5" w:rsidP="001C5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F5" w:rsidRPr="001C58F5" w:rsidRDefault="001C58F5" w:rsidP="001C5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8F5">
        <w:rPr>
          <w:rFonts w:ascii="Times New Roman" w:hAnsi="Times New Roman" w:cs="Times New Roman"/>
          <w:sz w:val="24"/>
          <w:szCs w:val="24"/>
          <w:lang w:val="ru-RU"/>
        </w:rPr>
        <w:t>Проблемы криминалистики</w:t>
      </w:r>
    </w:p>
    <w:p w:rsidR="001C58F5" w:rsidRDefault="001C58F5" w:rsidP="001C5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284B" w:rsidRDefault="00B5284B" w:rsidP="00B5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4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И.Ю. </w:t>
      </w:r>
      <w:proofErr w:type="spellStart"/>
      <w:r w:rsidRPr="00DB141C">
        <w:rPr>
          <w:rFonts w:ascii="Times New Roman" w:hAnsi="Times New Roman" w:cs="Times New Roman"/>
          <w:b/>
          <w:sz w:val="24"/>
          <w:szCs w:val="24"/>
          <w:lang w:val="ru-RU"/>
        </w:rPr>
        <w:t>Гульбинович</w:t>
      </w:r>
      <w:proofErr w:type="spellEnd"/>
      <w:r w:rsidRPr="00DB14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инженер 1 категории учебной криминалистической</w:t>
      </w:r>
      <w:r w:rsidR="00DB141C"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лаборатории кафедры криминалистики, соискатель кафедры криминалистики юридического факультета МГУ </w:t>
      </w:r>
    </w:p>
    <w:p w:rsidR="00B5284B" w:rsidRPr="00DB141C" w:rsidRDefault="00B5284B" w:rsidP="00B52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C58F5" w:rsidRDefault="001C58F5" w:rsidP="00B5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41C">
        <w:rPr>
          <w:rFonts w:ascii="Times New Roman" w:hAnsi="Times New Roman" w:cs="Times New Roman"/>
          <w:b/>
          <w:sz w:val="24"/>
          <w:szCs w:val="24"/>
          <w:lang w:val="ru-RU"/>
        </w:rPr>
        <w:t>Методологические основы криминалистического анализа причинности</w:t>
      </w:r>
    </w:p>
    <w:p w:rsidR="00C83DCB" w:rsidRDefault="00C83DCB" w:rsidP="00B5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3DCB" w:rsidRPr="00FA2E1E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В статье речь идет о разработке методологических основ криминалистического анализа причинности. Дано разграничение причинности в криминалистике</w:t>
      </w:r>
      <w:r w:rsidR="00DB141C"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и причинности в уголовном праве и процессе. Отмечены специфика криминалистического анализа причинности и его уровни. Делается попытка сформировать</w:t>
      </w:r>
      <w:r w:rsidR="00DB141C"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концептуальное представление о причинности как фундаментальной категории</w:t>
      </w:r>
      <w:r w:rsidR="00DB141C"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предмета исследования в криминалистике.</w:t>
      </w:r>
    </w:p>
    <w:p w:rsidR="00C83DCB" w:rsidRPr="00C83DCB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41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C83DCB">
        <w:rPr>
          <w:rFonts w:ascii="Times New Roman" w:hAnsi="Times New Roman" w:cs="Times New Roman"/>
          <w:sz w:val="24"/>
          <w:szCs w:val="24"/>
          <w:lang w:val="ru-RU"/>
        </w:rPr>
        <w:t>механизм расследуемого события, следовая картина,</w:t>
      </w:r>
      <w:r w:rsidR="00DB14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3DCB">
        <w:rPr>
          <w:rFonts w:ascii="Times New Roman" w:hAnsi="Times New Roman" w:cs="Times New Roman"/>
          <w:sz w:val="24"/>
          <w:szCs w:val="24"/>
          <w:lang w:val="ru-RU"/>
        </w:rPr>
        <w:t>причинность в методологии криминалистического анализа, уровни криминалистического анализа причинности, главный факт.</w:t>
      </w:r>
    </w:p>
    <w:p w:rsidR="00DB141C" w:rsidRPr="00DB141C" w:rsidRDefault="00DB141C" w:rsidP="00C8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3DCB" w:rsidRPr="00FA2E1E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E1E">
        <w:rPr>
          <w:rFonts w:ascii="Times New Roman" w:hAnsi="Times New Roman" w:cs="Times New Roman"/>
          <w:i/>
          <w:sz w:val="24"/>
          <w:szCs w:val="24"/>
        </w:rPr>
        <w:t>The article deals with the development of the methodological foundations of the</w:t>
      </w:r>
    </w:p>
    <w:p w:rsidR="00C83DCB" w:rsidRPr="00FA2E1E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E1E">
        <w:rPr>
          <w:rFonts w:ascii="Times New Roman" w:hAnsi="Times New Roman" w:cs="Times New Roman"/>
          <w:i/>
          <w:sz w:val="24"/>
          <w:szCs w:val="24"/>
        </w:rPr>
        <w:t>forensic analysis of causality. The distinction of causality in criminalistics from causality</w:t>
      </w:r>
    </w:p>
    <w:p w:rsidR="00C83DCB" w:rsidRPr="00FA2E1E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E1E">
        <w:rPr>
          <w:rFonts w:ascii="Times New Roman" w:hAnsi="Times New Roman" w:cs="Times New Roman"/>
          <w:i/>
          <w:sz w:val="24"/>
          <w:szCs w:val="24"/>
        </w:rPr>
        <w:t>in criminal law and criminal procedure is given. The specifics of forensic analysis of causality</w:t>
      </w:r>
    </w:p>
    <w:p w:rsidR="00C83DCB" w:rsidRPr="00FA2E1E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E1E">
        <w:rPr>
          <w:rFonts w:ascii="Times New Roman" w:hAnsi="Times New Roman" w:cs="Times New Roman"/>
          <w:i/>
          <w:sz w:val="24"/>
          <w:szCs w:val="24"/>
        </w:rPr>
        <w:t>and its levels are noted. An attempt is made to form a conceptual notion of causality</w:t>
      </w:r>
    </w:p>
    <w:p w:rsidR="00C83DCB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1E">
        <w:rPr>
          <w:rFonts w:ascii="Times New Roman" w:hAnsi="Times New Roman" w:cs="Times New Roman"/>
          <w:i/>
          <w:sz w:val="24"/>
          <w:szCs w:val="24"/>
        </w:rPr>
        <w:t>as the fundamental category of the subject of research in criminalistics.</w:t>
      </w:r>
    </w:p>
    <w:p w:rsidR="00C83DCB" w:rsidRPr="00DB141C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1C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C83DCB">
        <w:rPr>
          <w:rFonts w:ascii="Times New Roman" w:hAnsi="Times New Roman" w:cs="Times New Roman"/>
          <w:sz w:val="24"/>
          <w:szCs w:val="24"/>
        </w:rPr>
        <w:t xml:space="preserve"> mechanism of the event under investigation, trace pattern, causality</w:t>
      </w:r>
      <w:r w:rsidR="00DB141C" w:rsidRPr="00DB141C">
        <w:rPr>
          <w:rFonts w:ascii="Times New Roman" w:hAnsi="Times New Roman" w:cs="Times New Roman"/>
          <w:sz w:val="24"/>
          <w:szCs w:val="24"/>
        </w:rPr>
        <w:t xml:space="preserve"> </w:t>
      </w:r>
      <w:r w:rsidRPr="00C83DCB">
        <w:rPr>
          <w:rFonts w:ascii="Times New Roman" w:hAnsi="Times New Roman" w:cs="Times New Roman"/>
          <w:sz w:val="24"/>
          <w:szCs w:val="24"/>
        </w:rPr>
        <w:t>in the methodology of forensic analysis, levels of forensic analysis of causality, main</w:t>
      </w:r>
      <w:r w:rsidR="00DB141C" w:rsidRPr="00DB141C">
        <w:rPr>
          <w:rFonts w:ascii="Times New Roman" w:hAnsi="Times New Roman" w:cs="Times New Roman"/>
          <w:sz w:val="24"/>
          <w:szCs w:val="24"/>
        </w:rPr>
        <w:t xml:space="preserve"> </w:t>
      </w:r>
      <w:r w:rsidRPr="00C83DCB">
        <w:rPr>
          <w:rFonts w:ascii="Times New Roman" w:hAnsi="Times New Roman" w:cs="Times New Roman"/>
          <w:sz w:val="24"/>
          <w:szCs w:val="24"/>
        </w:rPr>
        <w:t>fact</w:t>
      </w:r>
      <w:r w:rsidRPr="00DB141C">
        <w:rPr>
          <w:rFonts w:ascii="Times New Roman" w:hAnsi="Times New Roman" w:cs="Times New Roman"/>
          <w:sz w:val="24"/>
          <w:szCs w:val="24"/>
        </w:rPr>
        <w:t>.</w:t>
      </w:r>
    </w:p>
    <w:p w:rsidR="004E63EA" w:rsidRPr="00DB141C" w:rsidRDefault="004E63EA" w:rsidP="001C5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3EA" w:rsidRPr="004E63EA" w:rsidRDefault="004E63EA" w:rsidP="004E6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3EA">
        <w:rPr>
          <w:rFonts w:ascii="Times New Roman" w:hAnsi="Times New Roman" w:cs="Times New Roman"/>
          <w:sz w:val="24"/>
          <w:szCs w:val="24"/>
          <w:lang w:val="ru-RU"/>
        </w:rPr>
        <w:t>Проблемы университетского образования</w:t>
      </w:r>
    </w:p>
    <w:p w:rsidR="004E63EA" w:rsidRDefault="004E63EA" w:rsidP="004E6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3DCB" w:rsidRPr="00C83DCB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4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А.В. Пашковская,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доцент кафедры уголовного права и криминологии</w:t>
      </w:r>
      <w:r w:rsidR="00DB141C"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юридического факультета МГУ</w:t>
      </w:r>
    </w:p>
    <w:p w:rsidR="004E63EA" w:rsidRDefault="00C83DCB" w:rsidP="004E6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41C">
        <w:rPr>
          <w:rFonts w:ascii="Times New Roman" w:hAnsi="Times New Roman" w:cs="Times New Roman"/>
          <w:b/>
          <w:sz w:val="24"/>
          <w:szCs w:val="24"/>
          <w:lang w:val="ru-RU"/>
        </w:rPr>
        <w:t>М.А. Филатова,</w:t>
      </w:r>
      <w:r w:rsidRPr="00C83D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доцент кафедры уголовного права и криминологии юридического факультета МГУ</w:t>
      </w:r>
      <w:r w:rsidRPr="00C83D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63EA" w:rsidRPr="004E63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E63EA" w:rsidRDefault="004E63EA" w:rsidP="004E6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63EA" w:rsidRPr="00DB141C" w:rsidRDefault="004E63EA" w:rsidP="004E6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141C">
        <w:rPr>
          <w:rFonts w:ascii="Times New Roman" w:hAnsi="Times New Roman" w:cs="Times New Roman"/>
          <w:b/>
          <w:sz w:val="24"/>
          <w:szCs w:val="24"/>
          <w:lang w:val="ru-RU"/>
        </w:rPr>
        <w:t>Научный студенческий кружок</w:t>
      </w:r>
      <w:r w:rsidRPr="00DB14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B141C">
        <w:rPr>
          <w:rFonts w:ascii="Times New Roman" w:hAnsi="Times New Roman" w:cs="Times New Roman"/>
          <w:b/>
          <w:sz w:val="24"/>
          <w:szCs w:val="24"/>
          <w:lang w:val="ru-RU"/>
        </w:rPr>
        <w:t>как форма активных образовательных технологий в подготовке юристов</w:t>
      </w:r>
    </w:p>
    <w:p w:rsidR="00C83DCB" w:rsidRDefault="00C83DCB" w:rsidP="004E6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3DCB" w:rsidRPr="00C83DCB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В статье рассматриваются проблемные аспекты развития научной активности студентов в форме научного студенческого кружка. Проводится анализ влияния участия студентов в работе такого характера на их становление</w:t>
      </w:r>
      <w:r w:rsidR="00DB141C"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как профессиональных юристов. </w:t>
      </w:r>
      <w:r w:rsidRPr="00FA2E1E">
        <w:rPr>
          <w:rFonts w:ascii="Times New Roman" w:hAnsi="Times New Roman" w:cs="Times New Roman"/>
          <w:sz w:val="24"/>
          <w:szCs w:val="24"/>
          <w:lang w:val="ru-RU"/>
        </w:rPr>
        <w:t>Выявляется непосредственная связь получаемых таким способом навыков с необходимостью формирования высококвалифицированных кадров нового поколения.</w:t>
      </w:r>
    </w:p>
    <w:p w:rsidR="00C83DCB" w:rsidRPr="00C83DCB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41C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Ключевые слова:</w:t>
      </w:r>
      <w:r w:rsidRPr="00C83DCB">
        <w:rPr>
          <w:rFonts w:ascii="Times New Roman" w:hAnsi="Times New Roman" w:cs="Times New Roman"/>
          <w:sz w:val="24"/>
          <w:szCs w:val="24"/>
          <w:lang w:val="ru-RU"/>
        </w:rPr>
        <w:t xml:space="preserve"> научный студенческий кружок, Программа развития</w:t>
      </w:r>
      <w:r w:rsidR="00DB14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3DCB">
        <w:rPr>
          <w:rFonts w:ascii="Times New Roman" w:hAnsi="Times New Roman" w:cs="Times New Roman"/>
          <w:sz w:val="24"/>
          <w:szCs w:val="24"/>
          <w:lang w:val="ru-RU"/>
        </w:rPr>
        <w:t>МГУ, образовательные технологии, подготовка юристов.</w:t>
      </w:r>
    </w:p>
    <w:p w:rsidR="00DB141C" w:rsidRPr="00DB141C" w:rsidRDefault="00DB141C" w:rsidP="00C8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3DCB" w:rsidRPr="00FA2E1E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E1E">
        <w:rPr>
          <w:rFonts w:ascii="Times New Roman" w:hAnsi="Times New Roman" w:cs="Times New Roman"/>
          <w:i/>
          <w:sz w:val="24"/>
          <w:szCs w:val="24"/>
        </w:rPr>
        <w:t>The article deals with the problems of student’s scientific activities especially in the</w:t>
      </w:r>
    </w:p>
    <w:p w:rsidR="00C83DCB" w:rsidRPr="00FA2E1E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E1E">
        <w:rPr>
          <w:rFonts w:ascii="Times New Roman" w:hAnsi="Times New Roman" w:cs="Times New Roman"/>
          <w:i/>
          <w:sz w:val="24"/>
          <w:szCs w:val="24"/>
        </w:rPr>
        <w:t>form of student scientific club. The given analysis shows the influence of the participation</w:t>
      </w:r>
    </w:p>
    <w:p w:rsidR="00C83DCB" w:rsidRPr="00FA2E1E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E1E">
        <w:rPr>
          <w:rFonts w:ascii="Times New Roman" w:hAnsi="Times New Roman" w:cs="Times New Roman"/>
          <w:i/>
          <w:sz w:val="24"/>
          <w:szCs w:val="24"/>
        </w:rPr>
        <w:t>in the club on the development of professional lawyer’s skills. The connection between the</w:t>
      </w:r>
    </w:p>
    <w:p w:rsidR="00C83DCB" w:rsidRPr="00FA2E1E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E1E">
        <w:rPr>
          <w:rFonts w:ascii="Times New Roman" w:hAnsi="Times New Roman" w:cs="Times New Roman"/>
          <w:i/>
          <w:sz w:val="24"/>
          <w:szCs w:val="24"/>
        </w:rPr>
        <w:t>obtained skills and the necessity of producing the new generation of highly professional</w:t>
      </w:r>
    </w:p>
    <w:p w:rsidR="00C83DCB" w:rsidRPr="00C83DCB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1E">
        <w:rPr>
          <w:rFonts w:ascii="Times New Roman" w:hAnsi="Times New Roman" w:cs="Times New Roman"/>
          <w:i/>
          <w:sz w:val="24"/>
          <w:szCs w:val="24"/>
        </w:rPr>
        <w:t>staff.</w:t>
      </w:r>
    </w:p>
    <w:p w:rsidR="00C83DCB" w:rsidRPr="00C83DCB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1C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C83DCB">
        <w:rPr>
          <w:rFonts w:ascii="Times New Roman" w:hAnsi="Times New Roman" w:cs="Times New Roman"/>
          <w:sz w:val="24"/>
          <w:szCs w:val="24"/>
        </w:rPr>
        <w:t>scientific student’s club, Program of development of the Moscow</w:t>
      </w:r>
      <w:r w:rsidR="00DB141C" w:rsidRPr="00DB141C">
        <w:rPr>
          <w:rFonts w:ascii="Times New Roman" w:hAnsi="Times New Roman" w:cs="Times New Roman"/>
          <w:sz w:val="24"/>
          <w:szCs w:val="24"/>
        </w:rPr>
        <w:t xml:space="preserve"> </w:t>
      </w:r>
      <w:r w:rsidRPr="00C83DCB">
        <w:rPr>
          <w:rFonts w:ascii="Times New Roman" w:hAnsi="Times New Roman" w:cs="Times New Roman"/>
          <w:sz w:val="24"/>
          <w:szCs w:val="24"/>
        </w:rPr>
        <w:t>State University, educational technologies, training of lawyers.</w:t>
      </w:r>
    </w:p>
    <w:p w:rsidR="004E63EA" w:rsidRPr="00C83DCB" w:rsidRDefault="004E63EA" w:rsidP="004E6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3EA" w:rsidRPr="004E63EA" w:rsidRDefault="004E63EA" w:rsidP="004E6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3EA">
        <w:rPr>
          <w:rFonts w:ascii="Times New Roman" w:hAnsi="Times New Roman" w:cs="Times New Roman"/>
          <w:sz w:val="24"/>
          <w:szCs w:val="24"/>
          <w:lang w:val="ru-RU"/>
        </w:rPr>
        <w:t>Научное сообщение</w:t>
      </w:r>
    </w:p>
    <w:p w:rsidR="004E63EA" w:rsidRDefault="004E63EA" w:rsidP="004E6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63EA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55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Н.В. </w:t>
      </w:r>
      <w:proofErr w:type="spellStart"/>
      <w:r w:rsidRPr="00BF555A">
        <w:rPr>
          <w:rFonts w:ascii="Times New Roman" w:hAnsi="Times New Roman" w:cs="Times New Roman"/>
          <w:b/>
          <w:sz w:val="24"/>
          <w:szCs w:val="24"/>
          <w:lang w:val="ru-RU"/>
        </w:rPr>
        <w:t>Закалюжная</w:t>
      </w:r>
      <w:proofErr w:type="spellEnd"/>
      <w:r w:rsidRPr="00BF55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кандидат юридических наук, доцент кафедры гражданско-правовых дисциплин Брянского государственного университета</w:t>
      </w:r>
      <w:r w:rsidR="00BF555A"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имени академика И.Г. Петровского</w:t>
      </w:r>
    </w:p>
    <w:p w:rsidR="004E63EA" w:rsidRDefault="004E63EA" w:rsidP="004E6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63EA" w:rsidRPr="00BF555A" w:rsidRDefault="004E63EA" w:rsidP="004E6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555A">
        <w:rPr>
          <w:rFonts w:ascii="Times New Roman" w:hAnsi="Times New Roman" w:cs="Times New Roman"/>
          <w:b/>
          <w:sz w:val="24"/>
          <w:szCs w:val="24"/>
          <w:lang w:val="ru-RU"/>
        </w:rPr>
        <w:t>Развитие законодательства о привлеченном труде</w:t>
      </w:r>
      <w:r w:rsidRPr="00BF55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F55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странах англосаксонской правовой семьи </w:t>
      </w:r>
    </w:p>
    <w:p w:rsidR="00C83DCB" w:rsidRDefault="00C83DCB" w:rsidP="004E6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3DCB" w:rsidRPr="00FA2E1E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Статья посвящена проблеме применения привлеченного труда. Автор исследует историю развития законодательства о привлеченном труде в странах</w:t>
      </w:r>
      <w:r w:rsidR="00BF555A"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англосаксонской правовой семьи, что позволяет выбрать наиболее эффективные элементы для правового механизма указанных отношений в России.</w:t>
      </w:r>
    </w:p>
    <w:p w:rsidR="00C83DCB" w:rsidRPr="00C83DCB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555A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C83DCB">
        <w:rPr>
          <w:rFonts w:ascii="Times New Roman" w:hAnsi="Times New Roman" w:cs="Times New Roman"/>
          <w:sz w:val="24"/>
          <w:szCs w:val="24"/>
          <w:lang w:val="ru-RU"/>
        </w:rPr>
        <w:t xml:space="preserve"> работник, работодатель, трудовой договор, привлеченный труд, нестандартная занятость, заемный труд.</w:t>
      </w:r>
    </w:p>
    <w:p w:rsidR="00BF555A" w:rsidRPr="00BF555A" w:rsidRDefault="00BF555A" w:rsidP="00C8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3DCB" w:rsidRPr="00FA2E1E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E1E">
        <w:rPr>
          <w:rFonts w:ascii="Times New Roman" w:hAnsi="Times New Roman" w:cs="Times New Roman"/>
          <w:i/>
          <w:sz w:val="24"/>
          <w:szCs w:val="24"/>
        </w:rPr>
        <w:t>The article is devoted to the problem of using external labour. The author investigates</w:t>
      </w:r>
      <w:r w:rsidR="00BF555A" w:rsidRPr="00FA2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</w:rPr>
        <w:t>the history of the development of the legislation of external labour in the countries of</w:t>
      </w:r>
      <w:r w:rsidR="00BF555A" w:rsidRPr="00FA2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</w:rPr>
        <w:t>Anglo-Saxon legal family that allows to choose more effective elements of a legal mechanism</w:t>
      </w:r>
      <w:r w:rsidR="00BF555A" w:rsidRPr="00FA2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</w:rPr>
        <w:t>of the given relations in Russia.</w:t>
      </w:r>
    </w:p>
    <w:p w:rsidR="00C83DCB" w:rsidRPr="00C83DCB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A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C83DCB">
        <w:rPr>
          <w:rFonts w:ascii="Times New Roman" w:hAnsi="Times New Roman" w:cs="Times New Roman"/>
          <w:sz w:val="24"/>
          <w:szCs w:val="24"/>
        </w:rPr>
        <w:t>employee, employer, labour contract, external labour, non-typical</w:t>
      </w:r>
      <w:r w:rsidR="00BF555A" w:rsidRPr="00BF555A">
        <w:rPr>
          <w:rFonts w:ascii="Times New Roman" w:hAnsi="Times New Roman" w:cs="Times New Roman"/>
          <w:sz w:val="24"/>
          <w:szCs w:val="24"/>
        </w:rPr>
        <w:t xml:space="preserve"> </w:t>
      </w:r>
      <w:r w:rsidRPr="00C83DCB">
        <w:rPr>
          <w:rFonts w:ascii="Times New Roman" w:hAnsi="Times New Roman" w:cs="Times New Roman"/>
          <w:sz w:val="24"/>
          <w:szCs w:val="24"/>
        </w:rPr>
        <w:t>employment, contract and agency labor.</w:t>
      </w:r>
    </w:p>
    <w:p w:rsidR="00C83DCB" w:rsidRPr="00C83DCB" w:rsidRDefault="00C83DCB" w:rsidP="004E6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3EA" w:rsidRPr="004E63EA" w:rsidRDefault="004E63EA" w:rsidP="004E6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3EA">
        <w:rPr>
          <w:rFonts w:ascii="Times New Roman" w:hAnsi="Times New Roman" w:cs="Times New Roman"/>
          <w:sz w:val="24"/>
          <w:szCs w:val="24"/>
          <w:lang w:val="ru-RU"/>
        </w:rPr>
        <w:t>Трибуна молодых ученых</w:t>
      </w:r>
    </w:p>
    <w:p w:rsidR="004E63EA" w:rsidRDefault="004E63EA" w:rsidP="004E6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63EA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2E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С.И. Коваленко,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аспирант кафедры международного права юридического факультета МГУ </w:t>
      </w:r>
    </w:p>
    <w:p w:rsidR="004E63EA" w:rsidRDefault="004E63EA" w:rsidP="004E6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63EA" w:rsidRPr="00BF555A" w:rsidRDefault="004E63EA" w:rsidP="004E6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555A">
        <w:rPr>
          <w:rFonts w:ascii="Times New Roman" w:hAnsi="Times New Roman" w:cs="Times New Roman"/>
          <w:b/>
          <w:sz w:val="24"/>
          <w:szCs w:val="24"/>
          <w:lang w:val="ru-RU"/>
        </w:rPr>
        <w:t>Роль ст. 31 Венской конвенции о праве международных договоров в обосновании использования Европейским судом по</w:t>
      </w:r>
      <w:r w:rsidRPr="00BF55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F555A">
        <w:rPr>
          <w:rFonts w:ascii="Times New Roman" w:hAnsi="Times New Roman" w:cs="Times New Roman"/>
          <w:b/>
          <w:sz w:val="24"/>
          <w:szCs w:val="24"/>
          <w:lang w:val="ru-RU"/>
        </w:rPr>
        <w:t>правам человека эволюционного подхода к толкованию норм Европейской конвенции о защите прав человека и основных свобод</w:t>
      </w:r>
    </w:p>
    <w:p w:rsidR="00C83DCB" w:rsidRDefault="00C83DCB" w:rsidP="004E6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3DCB" w:rsidRPr="00C83DCB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Настоящая статья представляет собой попытку продолжить рассмотрение правовых оснований используемого Европейским судом по правам человека</w:t>
      </w:r>
      <w:r w:rsidR="00BF555A"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эволюционного толкования норм Европейской Конвенции о защите прав человека и основных свобод 1950 г. Автором проанализированы динамичные элементы</w:t>
      </w:r>
      <w:r w:rsidR="00BF555A"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ст. 31 Венской конвенции о праве международных договоров.</w:t>
      </w:r>
    </w:p>
    <w:p w:rsidR="00C83DCB" w:rsidRPr="00BF555A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555A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 xml:space="preserve">Ключевые слова: </w:t>
      </w:r>
      <w:r w:rsidRPr="00C83DCB">
        <w:rPr>
          <w:rFonts w:ascii="Times New Roman" w:hAnsi="Times New Roman" w:cs="Times New Roman"/>
          <w:sz w:val="24"/>
          <w:szCs w:val="24"/>
          <w:lang w:val="ru-RU"/>
        </w:rPr>
        <w:t>Конвенция о защите прав человека и основных свобод,</w:t>
      </w:r>
      <w:r w:rsidR="00BF5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3DCB">
        <w:rPr>
          <w:rFonts w:ascii="Times New Roman" w:hAnsi="Times New Roman" w:cs="Times New Roman"/>
          <w:sz w:val="24"/>
          <w:szCs w:val="24"/>
          <w:lang w:val="ru-RU"/>
        </w:rPr>
        <w:t xml:space="preserve">Европейский </w:t>
      </w:r>
      <w:r w:rsidR="00BF555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83DCB">
        <w:rPr>
          <w:rFonts w:ascii="Times New Roman" w:hAnsi="Times New Roman" w:cs="Times New Roman"/>
          <w:sz w:val="24"/>
          <w:szCs w:val="24"/>
          <w:lang w:val="ru-RU"/>
        </w:rPr>
        <w:t>уд по правам человека, эволюционное (</w:t>
      </w:r>
      <w:proofErr w:type="spellStart"/>
      <w:r w:rsidRPr="00C83DCB">
        <w:rPr>
          <w:rFonts w:ascii="Times New Roman" w:hAnsi="Times New Roman" w:cs="Times New Roman"/>
          <w:sz w:val="24"/>
          <w:szCs w:val="24"/>
          <w:lang w:val="ru-RU"/>
        </w:rPr>
        <w:t>эволютивное</w:t>
      </w:r>
      <w:proofErr w:type="spellEnd"/>
      <w:r w:rsidRPr="00C83DCB">
        <w:rPr>
          <w:rFonts w:ascii="Times New Roman" w:hAnsi="Times New Roman" w:cs="Times New Roman"/>
          <w:sz w:val="24"/>
          <w:szCs w:val="24"/>
          <w:lang w:val="ru-RU"/>
        </w:rPr>
        <w:t>) толкование</w:t>
      </w:r>
      <w:r w:rsidRPr="00BF555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83DCB">
        <w:rPr>
          <w:rFonts w:ascii="Times New Roman" w:hAnsi="Times New Roman" w:cs="Times New Roman"/>
          <w:sz w:val="24"/>
          <w:szCs w:val="24"/>
          <w:lang w:val="ru-RU"/>
        </w:rPr>
        <w:t>Венская</w:t>
      </w:r>
      <w:r w:rsidRPr="00BF5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3DCB">
        <w:rPr>
          <w:rFonts w:ascii="Times New Roman" w:hAnsi="Times New Roman" w:cs="Times New Roman"/>
          <w:sz w:val="24"/>
          <w:szCs w:val="24"/>
          <w:lang w:val="ru-RU"/>
        </w:rPr>
        <w:t>конвенция</w:t>
      </w:r>
      <w:r w:rsidRPr="00BF55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555A" w:rsidRPr="00BF555A" w:rsidRDefault="00BF555A" w:rsidP="00C8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3DCB" w:rsidRPr="00FA2E1E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E1E">
        <w:rPr>
          <w:rFonts w:ascii="Times New Roman" w:hAnsi="Times New Roman" w:cs="Times New Roman"/>
          <w:i/>
          <w:sz w:val="24"/>
          <w:szCs w:val="24"/>
        </w:rPr>
        <w:t>The present article is an attempt to continue the examination of the legal basis</w:t>
      </w:r>
      <w:r w:rsidR="00BF555A" w:rsidRPr="00FA2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</w:rPr>
        <w:t>for the evolutionary interpretation of the European Convention on Human Rights and</w:t>
      </w:r>
      <w:r w:rsidR="00BF555A" w:rsidRPr="00FA2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</w:rPr>
        <w:t>Fundamental Freedoms of 1950 applied by the European Court of Human Rights. Here,</w:t>
      </w:r>
      <w:r w:rsidR="00BF555A" w:rsidRPr="00FA2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</w:rPr>
        <w:t>the author analyzes the dynamic elements of Article 31 of the Vienna Convention on the</w:t>
      </w:r>
      <w:r w:rsidR="00BF555A" w:rsidRPr="00FA2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</w:rPr>
        <w:t>Law of Treaties.</w:t>
      </w:r>
    </w:p>
    <w:p w:rsidR="00C83DCB" w:rsidRPr="00C83DCB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A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C83DCB">
        <w:rPr>
          <w:rFonts w:ascii="Times New Roman" w:hAnsi="Times New Roman" w:cs="Times New Roman"/>
          <w:sz w:val="24"/>
          <w:szCs w:val="24"/>
        </w:rPr>
        <w:t xml:space="preserve"> European Convention on Human Rights, European Court of Human</w:t>
      </w:r>
      <w:r w:rsidR="00BF555A" w:rsidRPr="00BF555A">
        <w:rPr>
          <w:rFonts w:ascii="Times New Roman" w:hAnsi="Times New Roman" w:cs="Times New Roman"/>
          <w:sz w:val="24"/>
          <w:szCs w:val="24"/>
        </w:rPr>
        <w:t xml:space="preserve"> </w:t>
      </w:r>
      <w:r w:rsidRPr="00C83DCB">
        <w:rPr>
          <w:rFonts w:ascii="Times New Roman" w:hAnsi="Times New Roman" w:cs="Times New Roman"/>
          <w:sz w:val="24"/>
          <w:szCs w:val="24"/>
        </w:rPr>
        <w:t>Rights, evolutionary (evolutive) interpretation, VCLT.</w:t>
      </w:r>
    </w:p>
    <w:p w:rsidR="004E63EA" w:rsidRPr="00C83DCB" w:rsidRDefault="004E63EA" w:rsidP="004E6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3EA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2E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И.В. </w:t>
      </w:r>
      <w:proofErr w:type="spellStart"/>
      <w:r w:rsidRPr="00FA2E1E">
        <w:rPr>
          <w:rFonts w:ascii="Times New Roman" w:hAnsi="Times New Roman" w:cs="Times New Roman"/>
          <w:b/>
          <w:sz w:val="24"/>
          <w:szCs w:val="24"/>
          <w:lang w:val="ru-RU"/>
        </w:rPr>
        <w:t>Аленькин</w:t>
      </w:r>
      <w:proofErr w:type="spellEnd"/>
      <w:r w:rsidRPr="00FA2E1E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C83D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аспирант кафедры конституционного и муниципального права юридического факультета МГУ</w:t>
      </w:r>
      <w:r w:rsidR="004E63EA"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4E63EA" w:rsidRDefault="004E63EA" w:rsidP="004E6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2AE6" w:rsidRPr="00FA2E1E" w:rsidRDefault="004E63EA" w:rsidP="00C22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A2E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Таксономия объединений: к вопросу о системе объединений в России </w:t>
      </w:r>
    </w:p>
    <w:p w:rsidR="00C83DCB" w:rsidRDefault="00C83DCB" w:rsidP="00C2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3DCB" w:rsidRDefault="00C83DCB" w:rsidP="00C2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3DCB" w:rsidRPr="00FA2E1E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В настоящей статье автором на основе анализа существующего законодательного регулирования и практики реализации права на объединение предпринимается попытка построения модели системы объединений граждан в России.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Такая система, по задумке автора, должна быть положена в основу законодательства об объединениях граждан и может быть использована в процессе его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реформирования. Также рассматривается вопрос соотношения предложенной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системы объединений с различными конструкциями (типами) объединений, использующимися в отечественном законодательстве.</w:t>
      </w:r>
    </w:p>
    <w:p w:rsidR="00C83DCB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555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C83DCB">
        <w:rPr>
          <w:rFonts w:ascii="Times New Roman" w:hAnsi="Times New Roman" w:cs="Times New Roman"/>
          <w:sz w:val="24"/>
          <w:szCs w:val="24"/>
          <w:lang w:val="ru-RU"/>
        </w:rPr>
        <w:t>гражданское общество, право на объединение, система</w:t>
      </w:r>
      <w:r w:rsidR="00BF5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3DCB">
        <w:rPr>
          <w:rFonts w:ascii="Times New Roman" w:hAnsi="Times New Roman" w:cs="Times New Roman"/>
          <w:sz w:val="24"/>
          <w:szCs w:val="24"/>
          <w:lang w:val="ru-RU"/>
        </w:rPr>
        <w:t>объединений граждан, общественное объединение, некоммерческая организация, реформа законодательства об объединениях граждан.</w:t>
      </w:r>
    </w:p>
    <w:p w:rsidR="00BF555A" w:rsidRPr="00FA2E1E" w:rsidRDefault="00BF555A" w:rsidP="00C8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3DCB" w:rsidRPr="00FA2E1E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E1E">
        <w:rPr>
          <w:rFonts w:ascii="Times New Roman" w:hAnsi="Times New Roman" w:cs="Times New Roman"/>
          <w:i/>
          <w:sz w:val="24"/>
          <w:szCs w:val="24"/>
        </w:rPr>
        <w:t xml:space="preserve">Author </w:t>
      </w:r>
      <w:proofErr w:type="gramStart"/>
      <w:r w:rsidRPr="00FA2E1E">
        <w:rPr>
          <w:rFonts w:ascii="Times New Roman" w:hAnsi="Times New Roman" w:cs="Times New Roman"/>
          <w:i/>
          <w:sz w:val="24"/>
          <w:szCs w:val="24"/>
        </w:rPr>
        <w:t>on the basis of</w:t>
      </w:r>
      <w:proofErr w:type="gramEnd"/>
      <w:r w:rsidRPr="00FA2E1E">
        <w:rPr>
          <w:rFonts w:ascii="Times New Roman" w:hAnsi="Times New Roman" w:cs="Times New Roman"/>
          <w:i/>
          <w:sz w:val="24"/>
          <w:szCs w:val="24"/>
        </w:rPr>
        <w:t xml:space="preserve"> analysis of existing legislation and practice realizing of the</w:t>
      </w:r>
      <w:r w:rsidR="00BF555A" w:rsidRPr="00FA2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</w:rPr>
        <w:t>right to association attempts to describe the model of the system of citizens' associations</w:t>
      </w:r>
      <w:r w:rsidR="00BF555A" w:rsidRPr="00FA2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</w:rPr>
        <w:t>in Russia. Such a system, according to the author's idea, should be placed in the basis</w:t>
      </w:r>
      <w:r w:rsidR="00BF555A" w:rsidRPr="00FA2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</w:rPr>
        <w:t>of legislation on citizens' associations and can be used in the process of reforming it. The</w:t>
      </w:r>
      <w:r w:rsidR="00BF555A" w:rsidRPr="00FA2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</w:rPr>
        <w:t>article also deals with the question of the correlation of the proposed system of associations</w:t>
      </w:r>
      <w:r w:rsidR="00BF555A" w:rsidRPr="00FA2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</w:rPr>
        <w:t>with the various types of associations used in Russian legislation.</w:t>
      </w:r>
    </w:p>
    <w:p w:rsidR="00C83DCB" w:rsidRPr="00C83DCB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CB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C83DCB">
        <w:rPr>
          <w:rFonts w:ascii="Times New Roman" w:hAnsi="Times New Roman" w:cs="Times New Roman"/>
          <w:sz w:val="24"/>
          <w:szCs w:val="24"/>
        </w:rPr>
        <w:t>civil society, right of association, system of citizens’ associations,</w:t>
      </w:r>
      <w:r w:rsidRPr="00C83DCB">
        <w:rPr>
          <w:rFonts w:ascii="Times New Roman" w:hAnsi="Times New Roman" w:cs="Times New Roman"/>
          <w:sz w:val="24"/>
          <w:szCs w:val="24"/>
        </w:rPr>
        <w:t xml:space="preserve"> </w:t>
      </w:r>
      <w:r w:rsidRPr="00C83DCB">
        <w:rPr>
          <w:rFonts w:ascii="Times New Roman" w:hAnsi="Times New Roman" w:cs="Times New Roman"/>
          <w:sz w:val="24"/>
          <w:szCs w:val="24"/>
        </w:rPr>
        <w:t>public association, non-profit organization, legislation on public associations reform.</w:t>
      </w:r>
    </w:p>
    <w:p w:rsidR="00C22AE6" w:rsidRPr="00C83DCB" w:rsidRDefault="00C22AE6" w:rsidP="00C2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AE6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2E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П.И. </w:t>
      </w:r>
      <w:proofErr w:type="spellStart"/>
      <w:r w:rsidRPr="00FA2E1E">
        <w:rPr>
          <w:rFonts w:ascii="Times New Roman" w:hAnsi="Times New Roman" w:cs="Times New Roman"/>
          <w:b/>
          <w:sz w:val="24"/>
          <w:szCs w:val="24"/>
          <w:lang w:val="ru-RU"/>
        </w:rPr>
        <w:t>Асланидис</w:t>
      </w:r>
      <w:proofErr w:type="spellEnd"/>
      <w:r w:rsidRPr="00FA2E1E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C83D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соискатель кафедры криминалистики юридического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факультета МГУ</w:t>
      </w:r>
    </w:p>
    <w:p w:rsidR="00C22AE6" w:rsidRPr="00FA2E1E" w:rsidRDefault="00C22AE6" w:rsidP="00C22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3DCB" w:rsidRDefault="00C22AE6" w:rsidP="00C2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2E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криминалистической характеристике автотранспортных происшествий </w:t>
      </w:r>
    </w:p>
    <w:p w:rsidR="00C83DCB" w:rsidRDefault="00C83DCB" w:rsidP="00C2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2E1E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В статье проводится криминалистический анализ современного состояния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2E1E">
        <w:rPr>
          <w:rFonts w:ascii="Times New Roman" w:hAnsi="Times New Roman" w:cs="Times New Roman"/>
          <w:i/>
          <w:sz w:val="24"/>
          <w:szCs w:val="24"/>
          <w:lang w:val="ru-RU"/>
        </w:rPr>
        <w:t>автотранспортного происшествия, как основы формирования криминалистической методики их расследования.</w:t>
      </w:r>
    </w:p>
    <w:p w:rsidR="00C83DCB" w:rsidRPr="00FA2E1E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83DCB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C83DCB">
        <w:rPr>
          <w:rFonts w:ascii="Times New Roman" w:hAnsi="Times New Roman" w:cs="Times New Roman"/>
          <w:sz w:val="24"/>
          <w:szCs w:val="24"/>
          <w:lang w:val="ru-RU"/>
        </w:rPr>
        <w:t xml:space="preserve"> криминалистическая характеристика, автотранспортное происшествие, расследование.</w:t>
      </w:r>
    </w:p>
    <w:p w:rsidR="00C83DCB" w:rsidRPr="00FA2E1E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3DCB" w:rsidRPr="00FA2E1E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E1E">
        <w:rPr>
          <w:rFonts w:ascii="Times New Roman" w:hAnsi="Times New Roman" w:cs="Times New Roman"/>
          <w:i/>
          <w:sz w:val="24"/>
          <w:szCs w:val="24"/>
        </w:rPr>
        <w:lastRenderedPageBreak/>
        <w:t>The article provides a forensic analysis of the current state of the road accident, as</w:t>
      </w:r>
    </w:p>
    <w:p w:rsidR="00C83DCB" w:rsidRPr="00C83DCB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1E">
        <w:rPr>
          <w:rFonts w:ascii="Times New Roman" w:hAnsi="Times New Roman" w:cs="Times New Roman"/>
          <w:i/>
          <w:sz w:val="24"/>
          <w:szCs w:val="24"/>
        </w:rPr>
        <w:t>the basis for the formation of forensic methods of their investigation.</w:t>
      </w:r>
    </w:p>
    <w:p w:rsidR="004E63EA" w:rsidRPr="00C83DCB" w:rsidRDefault="00C83DCB" w:rsidP="00C8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CB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C83DCB">
        <w:rPr>
          <w:rFonts w:ascii="Times New Roman" w:hAnsi="Times New Roman" w:cs="Times New Roman"/>
          <w:sz w:val="24"/>
          <w:szCs w:val="24"/>
        </w:rPr>
        <w:t>forensic characteristics, road accident, investigation.</w:t>
      </w:r>
      <w:r w:rsidR="00C22AE6" w:rsidRPr="00C83D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AE6" w:rsidRPr="00C83DCB" w:rsidRDefault="00C22AE6" w:rsidP="00C2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AE6" w:rsidRPr="00C83DCB" w:rsidRDefault="00C22AE6" w:rsidP="00C2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E6">
        <w:rPr>
          <w:rFonts w:ascii="Times New Roman" w:hAnsi="Times New Roman" w:cs="Times New Roman"/>
          <w:sz w:val="24"/>
          <w:szCs w:val="24"/>
          <w:lang w:val="ru-RU"/>
        </w:rPr>
        <w:t>Алексей</w:t>
      </w:r>
      <w:r w:rsidRPr="00C83DCB">
        <w:rPr>
          <w:rFonts w:ascii="Times New Roman" w:hAnsi="Times New Roman" w:cs="Times New Roman"/>
          <w:sz w:val="24"/>
          <w:szCs w:val="24"/>
        </w:rPr>
        <w:t xml:space="preserve"> </w:t>
      </w:r>
      <w:r w:rsidRPr="00C22AE6">
        <w:rPr>
          <w:rFonts w:ascii="Times New Roman" w:hAnsi="Times New Roman" w:cs="Times New Roman"/>
          <w:sz w:val="24"/>
          <w:szCs w:val="24"/>
          <w:lang w:val="ru-RU"/>
        </w:rPr>
        <w:t>Петрович</w:t>
      </w:r>
      <w:r w:rsidRPr="00C83DCB">
        <w:rPr>
          <w:rFonts w:ascii="Times New Roman" w:hAnsi="Times New Roman" w:cs="Times New Roman"/>
          <w:sz w:val="24"/>
          <w:szCs w:val="24"/>
        </w:rPr>
        <w:t xml:space="preserve"> </w:t>
      </w:r>
      <w:r w:rsidRPr="00C22AE6">
        <w:rPr>
          <w:rFonts w:ascii="Times New Roman" w:hAnsi="Times New Roman" w:cs="Times New Roman"/>
          <w:sz w:val="24"/>
          <w:szCs w:val="24"/>
          <w:lang w:val="ru-RU"/>
        </w:rPr>
        <w:t>Алехин</w:t>
      </w:r>
      <w:r w:rsidRPr="00C83DCB">
        <w:rPr>
          <w:rFonts w:ascii="Times New Roman" w:hAnsi="Times New Roman" w:cs="Times New Roman"/>
          <w:sz w:val="24"/>
          <w:szCs w:val="24"/>
        </w:rPr>
        <w:t xml:space="preserve"> (1930–2018) </w:t>
      </w:r>
    </w:p>
    <w:p w:rsidR="001C58F5" w:rsidRPr="00C83DCB" w:rsidRDefault="001C58F5" w:rsidP="00EA3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F5" w:rsidRPr="00C83DCB" w:rsidRDefault="001C58F5" w:rsidP="00EA3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F5" w:rsidRPr="00C83DCB" w:rsidRDefault="001C58F5" w:rsidP="00EA3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B3F" w:rsidRPr="00B33674" w:rsidRDefault="006B0B3F" w:rsidP="006B0B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0" w:name="_GoBack"/>
      <w:bookmarkEnd w:id="0"/>
    </w:p>
    <w:p w:rsidR="00B33674" w:rsidRDefault="00B33674" w:rsidP="006B0B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B0B3F" w:rsidRPr="00B33674" w:rsidRDefault="006B0B3F" w:rsidP="006B0B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674" w:rsidRDefault="00B33674" w:rsidP="006B0B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2E1E" w:rsidRPr="00B537D9" w:rsidRDefault="00FA2E1E" w:rsidP="00FA2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B3F" w:rsidRPr="00B537D9" w:rsidRDefault="006B0B3F" w:rsidP="006B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8A6" w:rsidRPr="009B5E0D" w:rsidRDefault="00B138A6" w:rsidP="00815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E0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B138A6" w:rsidRPr="009B5E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7D"/>
    <w:rsid w:val="00011986"/>
    <w:rsid w:val="00020C44"/>
    <w:rsid w:val="00040FAA"/>
    <w:rsid w:val="00041D9B"/>
    <w:rsid w:val="0004656D"/>
    <w:rsid w:val="000468D5"/>
    <w:rsid w:val="000575A3"/>
    <w:rsid w:val="00094A79"/>
    <w:rsid w:val="000D7D1A"/>
    <w:rsid w:val="00117044"/>
    <w:rsid w:val="00121AAA"/>
    <w:rsid w:val="00132FA1"/>
    <w:rsid w:val="001628F7"/>
    <w:rsid w:val="00163605"/>
    <w:rsid w:val="001B351B"/>
    <w:rsid w:val="001C58F5"/>
    <w:rsid w:val="00200B4E"/>
    <w:rsid w:val="002578E0"/>
    <w:rsid w:val="002917C7"/>
    <w:rsid w:val="002972C0"/>
    <w:rsid w:val="002A43EF"/>
    <w:rsid w:val="002C56F1"/>
    <w:rsid w:val="002D15A8"/>
    <w:rsid w:val="002D4A7C"/>
    <w:rsid w:val="00334CF7"/>
    <w:rsid w:val="003C1349"/>
    <w:rsid w:val="003C485A"/>
    <w:rsid w:val="003E028C"/>
    <w:rsid w:val="0041777B"/>
    <w:rsid w:val="004A3297"/>
    <w:rsid w:val="004E0064"/>
    <w:rsid w:val="004E63EA"/>
    <w:rsid w:val="0052501C"/>
    <w:rsid w:val="005379FA"/>
    <w:rsid w:val="00542501"/>
    <w:rsid w:val="00551DFF"/>
    <w:rsid w:val="005734A5"/>
    <w:rsid w:val="0057765B"/>
    <w:rsid w:val="00587AC5"/>
    <w:rsid w:val="005D07A8"/>
    <w:rsid w:val="005E23C8"/>
    <w:rsid w:val="00602221"/>
    <w:rsid w:val="0060720B"/>
    <w:rsid w:val="0062793D"/>
    <w:rsid w:val="00654853"/>
    <w:rsid w:val="006666B4"/>
    <w:rsid w:val="006B0B3F"/>
    <w:rsid w:val="00700213"/>
    <w:rsid w:val="00702F94"/>
    <w:rsid w:val="007072EB"/>
    <w:rsid w:val="00711F8E"/>
    <w:rsid w:val="007B3A7A"/>
    <w:rsid w:val="007F750C"/>
    <w:rsid w:val="00801C25"/>
    <w:rsid w:val="00815CFD"/>
    <w:rsid w:val="008225B5"/>
    <w:rsid w:val="00885983"/>
    <w:rsid w:val="008A7E3E"/>
    <w:rsid w:val="00904493"/>
    <w:rsid w:val="00906B38"/>
    <w:rsid w:val="009151F1"/>
    <w:rsid w:val="00932E66"/>
    <w:rsid w:val="00934FCF"/>
    <w:rsid w:val="00967529"/>
    <w:rsid w:val="00993E1C"/>
    <w:rsid w:val="009A7B6B"/>
    <w:rsid w:val="009B5E0D"/>
    <w:rsid w:val="009E2CF3"/>
    <w:rsid w:val="00A15428"/>
    <w:rsid w:val="00A252D7"/>
    <w:rsid w:val="00AA12D9"/>
    <w:rsid w:val="00AA7723"/>
    <w:rsid w:val="00AD264E"/>
    <w:rsid w:val="00B138A6"/>
    <w:rsid w:val="00B33674"/>
    <w:rsid w:val="00B524F9"/>
    <w:rsid w:val="00B5284B"/>
    <w:rsid w:val="00B537D9"/>
    <w:rsid w:val="00B560CC"/>
    <w:rsid w:val="00BB7690"/>
    <w:rsid w:val="00BC0727"/>
    <w:rsid w:val="00BF555A"/>
    <w:rsid w:val="00C22AE6"/>
    <w:rsid w:val="00C41462"/>
    <w:rsid w:val="00C520B7"/>
    <w:rsid w:val="00C77EE3"/>
    <w:rsid w:val="00C83DCB"/>
    <w:rsid w:val="00CB53A7"/>
    <w:rsid w:val="00CE5D22"/>
    <w:rsid w:val="00CF5C46"/>
    <w:rsid w:val="00D369A1"/>
    <w:rsid w:val="00DB141C"/>
    <w:rsid w:val="00DC3BFC"/>
    <w:rsid w:val="00DD59ED"/>
    <w:rsid w:val="00E04B00"/>
    <w:rsid w:val="00E0538C"/>
    <w:rsid w:val="00E062CF"/>
    <w:rsid w:val="00E21BE2"/>
    <w:rsid w:val="00E75850"/>
    <w:rsid w:val="00EA31FB"/>
    <w:rsid w:val="00EA7167"/>
    <w:rsid w:val="00EC3860"/>
    <w:rsid w:val="00EE0745"/>
    <w:rsid w:val="00F03D72"/>
    <w:rsid w:val="00F05828"/>
    <w:rsid w:val="00F26231"/>
    <w:rsid w:val="00F4097D"/>
    <w:rsid w:val="00F40F87"/>
    <w:rsid w:val="00F43719"/>
    <w:rsid w:val="00F60067"/>
    <w:rsid w:val="00F66A22"/>
    <w:rsid w:val="00FA2E1E"/>
    <w:rsid w:val="00FB4CA7"/>
    <w:rsid w:val="00FD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4AF78"/>
  <w15:chartTrackingRefBased/>
  <w15:docId w15:val="{DF07BD1C-9F27-44BE-98BE-9166B08F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2187</TotalTime>
  <Pages>1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Mazurkov</dc:creator>
  <cp:keywords/>
  <dc:description/>
  <cp:lastModifiedBy>Tatiana</cp:lastModifiedBy>
  <cp:revision>23</cp:revision>
  <dcterms:created xsi:type="dcterms:W3CDTF">2017-04-21T09:27:00Z</dcterms:created>
  <dcterms:modified xsi:type="dcterms:W3CDTF">2018-10-20T18:10:00Z</dcterms:modified>
</cp:coreProperties>
</file>