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EE433" w14:textId="756D7EBA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>Вестник Московского университета</w:t>
      </w:r>
    </w:p>
    <w:p w14:paraId="4F654913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Серия 11 Право </w:t>
      </w:r>
    </w:p>
    <w:p w14:paraId="7BB141DA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Научный журнал </w:t>
      </w:r>
    </w:p>
    <w:p w14:paraId="5A38543C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Основан в ноябре 1946 г.</w:t>
      </w:r>
    </w:p>
    <w:p w14:paraId="3E046E5E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Издательство Московского университета</w:t>
      </w:r>
    </w:p>
    <w:p w14:paraId="4B0AED8E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483F84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097D">
        <w:rPr>
          <w:rFonts w:ascii="Times New Roman" w:hAnsi="Times New Roman" w:cs="Times New Roman"/>
          <w:sz w:val="24"/>
          <w:szCs w:val="24"/>
          <w:lang w:val="ru-RU"/>
        </w:rPr>
        <w:t>Выходит</w:t>
      </w:r>
      <w:proofErr w:type="gramEnd"/>
      <w:r w:rsidRPr="00F4097D">
        <w:rPr>
          <w:rFonts w:ascii="Times New Roman" w:hAnsi="Times New Roman" w:cs="Times New Roman"/>
          <w:sz w:val="24"/>
          <w:szCs w:val="24"/>
          <w:lang w:val="ru-RU"/>
        </w:rPr>
        <w:t xml:space="preserve"> один раз в два месяца</w:t>
      </w:r>
    </w:p>
    <w:p w14:paraId="57B9B079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B4062D" w14:textId="691090BA" w:rsidR="005379FA" w:rsidRDefault="009B5E0D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5E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№ </w:t>
      </w:r>
      <w:r w:rsidR="00202AE1" w:rsidRPr="00202AE1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9B5E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• 20</w:t>
      </w:r>
      <w:r w:rsidR="001F50D3" w:rsidRPr="00B8618C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9B5E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• </w:t>
      </w:r>
      <w:r w:rsidR="00202AE1">
        <w:rPr>
          <w:rFonts w:ascii="Times New Roman" w:hAnsi="Times New Roman" w:cs="Times New Roman"/>
          <w:b/>
          <w:sz w:val="24"/>
          <w:szCs w:val="24"/>
          <w:lang w:val="ru-RU"/>
        </w:rPr>
        <w:t>июль</w:t>
      </w:r>
      <w:r w:rsidR="00366500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202AE1">
        <w:rPr>
          <w:rFonts w:ascii="Times New Roman" w:hAnsi="Times New Roman" w:cs="Times New Roman"/>
          <w:b/>
          <w:sz w:val="24"/>
          <w:szCs w:val="24"/>
          <w:lang w:val="ru-RU"/>
        </w:rPr>
        <w:t>август</w:t>
      </w:r>
    </w:p>
    <w:p w14:paraId="76E70DAE" w14:textId="1904CF1D" w:rsidR="001F50D3" w:rsidRDefault="001F50D3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3B4B303" w14:textId="77777777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  <w:proofErr w:type="spellStart"/>
      <w:r w:rsidRPr="005B5D42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История</w:t>
      </w:r>
      <w:proofErr w:type="spellEnd"/>
      <w:r w:rsidRPr="005B5D42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государства</w:t>
      </w:r>
      <w:proofErr w:type="spellEnd"/>
      <w:r w:rsidRPr="005B5D42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B5D42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права</w:t>
      </w:r>
      <w:proofErr w:type="spellEnd"/>
    </w:p>
    <w:p w14:paraId="24134ED4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0C00368" w14:textId="54C2FAF8" w:rsidR="00202AE1" w:rsidRPr="00630E10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proofErr w:type="gramStart"/>
      <w:r w:rsidRPr="005B5D42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П.Л.</w:t>
      </w:r>
      <w:proofErr w:type="gramEnd"/>
      <w:r w:rsidRPr="005B5D42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 Полянский,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доктор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юридических наук, профессор кафедры</w:t>
      </w:r>
      <w:r w:rsidR="00630E1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истории государства и права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юридического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факультета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МГУ</w:t>
      </w:r>
      <w:r w:rsidRPr="005B5D42">
        <w:rPr>
          <w:rFonts w:ascii="Times New Roman" w:eastAsia="Newton-Italic" w:hAnsi="Times New Roman" w:cs="Times New Roman"/>
          <w:i/>
          <w:iCs/>
          <w:color w:val="FFFFFF"/>
          <w:sz w:val="24"/>
          <w:szCs w:val="24"/>
          <w:lang w:val="ru-RU"/>
        </w:rPr>
        <w:t>1</w:t>
      </w:r>
    </w:p>
    <w:p w14:paraId="480DA7E3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FB41007" w14:textId="78727EBB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  <w:r w:rsidRPr="005B5D42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Обследование Рабкрином судебно-следственной системы в середине</w:t>
      </w:r>
      <w:r w:rsidR="00630E10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1920-х годов и его первые результаты</w:t>
      </w:r>
    </w:p>
    <w:p w14:paraId="2F8C4D37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12461965" w14:textId="621BD1C7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Статья посвящена обследованию, проводимому Рабкрином в отношении</w:t>
      </w:r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суда, милиции, органов следствия и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прокуратуры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 1923–1927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гг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 Автор вводит</w:t>
      </w:r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в научный оборот новые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материалы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о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результатах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изучаемой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ревизии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. Рассматриваются предложения Рабкрина по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разгрузке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народных судов от рассмотрения некоторых категорий дел и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реализация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этих предложений в законодательстве.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Автор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приходит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к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выводу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о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том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что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обследование и инициативы Рабкрина</w:t>
      </w:r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оказали значительное влияние на регулирование вопросов подведомственности</w:t>
      </w:r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судов, а также на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советское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уголовное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и процессуальное законодательство периода нэпа.</w:t>
      </w:r>
    </w:p>
    <w:p w14:paraId="7115D063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79383B94" w14:textId="347B165D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5B5D42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5B5D42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Россия, РСФСР, </w:t>
      </w:r>
      <w:proofErr w:type="spellStart"/>
      <w:r w:rsidRPr="005B5D42">
        <w:rPr>
          <w:rFonts w:ascii="Times New Roman" w:eastAsia="Newton-Regular" w:hAnsi="Times New Roman" w:cs="Times New Roman"/>
          <w:sz w:val="24"/>
          <w:szCs w:val="24"/>
          <w:lang w:val="ru-RU"/>
        </w:rPr>
        <w:t>нэп</w:t>
      </w:r>
      <w:proofErr w:type="spellEnd"/>
      <w:r w:rsidRPr="005B5D42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B5D42">
        <w:rPr>
          <w:rFonts w:ascii="Times New Roman" w:eastAsia="Newton-Regular" w:hAnsi="Times New Roman" w:cs="Times New Roman"/>
          <w:sz w:val="24"/>
          <w:szCs w:val="24"/>
          <w:lang w:val="ru-RU"/>
        </w:rPr>
        <w:t>Рабкрин</w:t>
      </w:r>
      <w:proofErr w:type="spellEnd"/>
      <w:r w:rsidRPr="005B5D42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B5D42">
        <w:rPr>
          <w:rFonts w:ascii="Times New Roman" w:eastAsia="Newton-Regular" w:hAnsi="Times New Roman" w:cs="Times New Roman"/>
          <w:sz w:val="24"/>
          <w:szCs w:val="24"/>
          <w:lang w:val="ru-RU"/>
        </w:rPr>
        <w:t>народные</w:t>
      </w:r>
      <w:proofErr w:type="spellEnd"/>
      <w:r w:rsidRPr="005B5D42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Regular" w:hAnsi="Times New Roman" w:cs="Times New Roman"/>
          <w:sz w:val="24"/>
          <w:szCs w:val="24"/>
          <w:lang w:val="ru-RU"/>
        </w:rPr>
        <w:t>суды</w:t>
      </w:r>
      <w:proofErr w:type="spellEnd"/>
      <w:r w:rsidRPr="005B5D42">
        <w:rPr>
          <w:rFonts w:ascii="Times New Roman" w:eastAsia="Newton-Regular" w:hAnsi="Times New Roman" w:cs="Times New Roman"/>
          <w:sz w:val="24"/>
          <w:szCs w:val="24"/>
          <w:lang w:val="ru-RU"/>
        </w:rPr>
        <w:t>.</w:t>
      </w:r>
    </w:p>
    <w:p w14:paraId="2ADDCEC8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1FDF68BB" w14:textId="242A5B03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The article is devoted to the survey carried out by the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Rabkrin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(Workers’ and Peasants’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Inspection) in relation to the courts, </w:t>
      </w:r>
      <w:proofErr w:type="gram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police</w:t>
      </w:r>
      <w:proofErr w:type="gram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and the public prosecutor’s office in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1923–1927. The author introduces new archive materials on the results of the revision.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We consider problems of relief of people’s courts from consideration of some cases and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legislation about it. The author concludes that the survey and the initiatives of the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Rabkrin</w:t>
      </w:r>
      <w:proofErr w:type="spellEnd"/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had a significant impact on the regulation of issues of jurisdiction of the courts, as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well as on the Soviet criminal and procedural legislation of the NEP period.</w:t>
      </w:r>
    </w:p>
    <w:p w14:paraId="70396041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3DDC9707" w14:textId="1A52A966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B5D42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5B5D42">
        <w:rPr>
          <w:rFonts w:ascii="Times New Roman" w:eastAsia="Newton-Regular" w:hAnsi="Times New Roman" w:cs="Times New Roman"/>
          <w:sz w:val="24"/>
          <w:szCs w:val="24"/>
        </w:rPr>
        <w:t xml:space="preserve">Russia, Russian SFSR, NEP, </w:t>
      </w:r>
      <w:proofErr w:type="spellStart"/>
      <w:r w:rsidRPr="005B5D42">
        <w:rPr>
          <w:rFonts w:ascii="Times New Roman" w:eastAsia="Newton-Regular" w:hAnsi="Times New Roman" w:cs="Times New Roman"/>
          <w:sz w:val="24"/>
          <w:szCs w:val="24"/>
        </w:rPr>
        <w:t>Rabkrin</w:t>
      </w:r>
      <w:proofErr w:type="spellEnd"/>
      <w:r w:rsidRPr="005B5D42">
        <w:rPr>
          <w:rFonts w:ascii="Times New Roman" w:eastAsia="Newton-Regular" w:hAnsi="Times New Roman" w:cs="Times New Roman"/>
          <w:sz w:val="24"/>
          <w:szCs w:val="24"/>
        </w:rPr>
        <w:t>, people’s courts.</w:t>
      </w:r>
    </w:p>
    <w:p w14:paraId="0CCC4AFB" w14:textId="77777777" w:rsidR="005B5D42" w:rsidRP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</w:p>
    <w:p w14:paraId="7500B931" w14:textId="616C7123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  <w:r w:rsidRPr="005B5D42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Проблемы конституционного</w:t>
      </w:r>
      <w:r w:rsidR="00630E10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и муниципального права</w:t>
      </w:r>
    </w:p>
    <w:p w14:paraId="079D82DB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1628B3B" w14:textId="41CCB0DC" w:rsidR="00202AE1" w:rsidRPr="00630E10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proofErr w:type="gramStart"/>
      <w:r w:rsidRPr="005B5D42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Д.Г.</w:t>
      </w:r>
      <w:proofErr w:type="gramEnd"/>
      <w:r w:rsidRPr="005B5D42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 Шустров</w:t>
      </w:r>
      <w:r w:rsidRPr="005B5D42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кандидат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юридических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наук, доцент кафедры конституционного и муниципального права юридического факультета МГУ</w:t>
      </w:r>
      <w:r w:rsidRPr="005B5D42">
        <w:rPr>
          <w:rFonts w:ascii="Times New Roman" w:eastAsia="Newton-Italic" w:hAnsi="Times New Roman" w:cs="Times New Roman"/>
          <w:i/>
          <w:iCs/>
          <w:color w:val="FFFFFF"/>
          <w:sz w:val="24"/>
          <w:szCs w:val="24"/>
          <w:lang w:val="ru-RU"/>
        </w:rPr>
        <w:t>63</w:t>
      </w:r>
      <w:r w:rsidRPr="005B5D42">
        <w:rPr>
          <w:rFonts w:ascii="Cambria Math" w:eastAsia="Newton-Regular" w:hAnsi="Cambria Math" w:cs="Cambria Math"/>
          <w:color w:val="FFFFFF"/>
          <w:sz w:val="24"/>
          <w:szCs w:val="24"/>
          <w:lang w:val="ru-RU"/>
        </w:rPr>
        <w:t>∗</w:t>
      </w:r>
    </w:p>
    <w:p w14:paraId="09D3F238" w14:textId="77777777" w:rsidR="005B5D42" w:rsidRPr="00630E10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93CF689" w14:textId="5705CD1C" w:rsidR="00202AE1" w:rsidRPr="00630E10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  <w:r w:rsidRPr="00630E10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Конституционная идентичность</w:t>
      </w:r>
      <w:r w:rsidR="00630E10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30E10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и изменение Конституции</w:t>
      </w:r>
    </w:p>
    <w:p w14:paraId="51447E9E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5A7B89B2" w14:textId="43A50731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lastRenderedPageBreak/>
        <w:t xml:space="preserve">В статье раскрывается понятие конституционной идентичности, а таже анализируются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внутриправовая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внешнеправовая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функции доктрины конституционной идентичности на примере решений органов конституционного</w:t>
      </w:r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контроля.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Конституционная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идентичность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— фундаментальное качество конституции, свидетельствующее о ее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самотождественности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, она формализуется</w:t>
      </w:r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 конституционных положениях и/или принципах, характеризующих основное</w:t>
      </w:r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содержание конституции и которые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не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могут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быть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изменены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 рамках ее действия.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Доктрина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конституционной идентичности выполняет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внутриправовую</w:t>
      </w:r>
      <w:proofErr w:type="spellEnd"/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и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внешнеправовую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функции, каждая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из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которых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связана с обеспечением материальных пределов изменения конституции: первая защищает конституцию от</w:t>
      </w:r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внесения неконституционных изменений; вторая защищает конституцию от</w:t>
      </w:r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изменения на основании международного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права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</w:t>
      </w:r>
    </w:p>
    <w:p w14:paraId="47E25FE5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77D24732" w14:textId="6732288A" w:rsidR="00202AE1" w:rsidRPr="00630E10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5B5D42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>Ключевые слова</w:t>
      </w:r>
      <w:r w:rsidRPr="005B5D42">
        <w:rPr>
          <w:rFonts w:ascii="Times New Roman" w:eastAsia="Newton-Regular" w:hAnsi="Times New Roman" w:cs="Times New Roman"/>
          <w:sz w:val="24"/>
          <w:szCs w:val="24"/>
          <w:lang w:val="ru-RU"/>
        </w:rPr>
        <w:t>: конституция, конституционная идентичность, Конституционный Суд, конституционный контроль, изменение конституции,</w:t>
      </w:r>
      <w:r w:rsidR="00630E10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630E10">
        <w:rPr>
          <w:rFonts w:ascii="Times New Roman" w:eastAsia="Newton-Regular" w:hAnsi="Times New Roman" w:cs="Times New Roman"/>
          <w:sz w:val="24"/>
          <w:szCs w:val="24"/>
          <w:lang w:val="ru-RU"/>
        </w:rPr>
        <w:t>международное право.</w:t>
      </w:r>
    </w:p>
    <w:p w14:paraId="6F77A34C" w14:textId="77777777" w:rsidR="005B5D42" w:rsidRPr="00630E10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37A9BAE4" w14:textId="1DBF676B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reveals the concept of constitutional identity, as well as analyzes the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internal and external legal functions of the doctrine of constitutional identity. Constitutional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identity is a fundamental quality of the constitution, pointing to its self-identity, it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is formalized in a number of constitutional provisions and principles that characterize the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basic feature of the constitution and cannot be amend within the framework of its action.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The doctrine of constitutional identity performs in the internal and external functions,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which are associated with ensuring the material limits of constitutional amendments: the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first protects the constitution from unconstitutional amendments; the second protects the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constitution from being changed by international law.</w:t>
      </w:r>
    </w:p>
    <w:p w14:paraId="05004655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42E957A6" w14:textId="56E5D2D2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B5D42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>Keywords</w:t>
      </w:r>
      <w:r w:rsidRPr="005B5D42">
        <w:rPr>
          <w:rFonts w:ascii="Times New Roman" w:eastAsia="Newton-Regular" w:hAnsi="Times New Roman" w:cs="Times New Roman"/>
          <w:sz w:val="24"/>
          <w:szCs w:val="24"/>
        </w:rPr>
        <w:t>: constitution, constitutional identity, Constitutional Court, constitutional</w:t>
      </w:r>
      <w:r w:rsidR="00630E10" w:rsidRPr="00630E1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5B5D42">
        <w:rPr>
          <w:rFonts w:ascii="Times New Roman" w:eastAsia="Newton-Regular" w:hAnsi="Times New Roman" w:cs="Times New Roman"/>
          <w:sz w:val="24"/>
          <w:szCs w:val="24"/>
        </w:rPr>
        <w:t>review, constitutional change, international law.</w:t>
      </w:r>
    </w:p>
    <w:p w14:paraId="16896777" w14:textId="77777777" w:rsidR="005B5D42" w:rsidRPr="00630E10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14:paraId="160CE69A" w14:textId="3BB9D386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5B5D42">
        <w:rPr>
          <w:rFonts w:ascii="Times New Roman" w:eastAsia="Newton-Regular" w:hAnsi="Times New Roman" w:cs="Times New Roman"/>
          <w:sz w:val="24"/>
          <w:szCs w:val="24"/>
          <w:lang w:val="ru-RU"/>
        </w:rPr>
        <w:t>Вопросы уголовного права</w:t>
      </w:r>
      <w:r w:rsidR="00630E10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Regular" w:hAnsi="Times New Roman" w:cs="Times New Roman"/>
          <w:sz w:val="24"/>
          <w:szCs w:val="24"/>
          <w:lang w:val="ru-RU"/>
        </w:rPr>
        <w:t>и процесса</w:t>
      </w:r>
    </w:p>
    <w:p w14:paraId="79453975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</w:p>
    <w:p w14:paraId="1BB04350" w14:textId="7B8DB2C5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5B5D42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П.Н. Смоляков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, кандидат юридических наук, доцент Байкальского государственного университета (г. Иркутск), докторант кафедры уголовного права и криминологии юридического факультета МГУ</w:t>
      </w:r>
    </w:p>
    <w:p w14:paraId="4A3DB215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</w:p>
    <w:p w14:paraId="7A4E5CB4" w14:textId="35F42B17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  <w:r w:rsidRPr="005B5D42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Концепция уголовной сферы в практике</w:t>
      </w:r>
      <w:r w:rsidR="00630E10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Европейского суда по правам человека</w:t>
      </w:r>
    </w:p>
    <w:p w14:paraId="072015FA" w14:textId="6EAC578B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</w:rPr>
      </w:pPr>
      <w:r w:rsidRPr="005B5D42">
        <w:rPr>
          <w:rFonts w:ascii="Times New Roman" w:eastAsia="Newton-Regular" w:hAnsi="Times New Roman" w:cs="Times New Roman"/>
          <w:b/>
          <w:bCs/>
          <w:sz w:val="24"/>
          <w:szCs w:val="24"/>
        </w:rPr>
        <w:t xml:space="preserve">и </w:t>
      </w:r>
      <w:proofErr w:type="spellStart"/>
      <w:r w:rsidRPr="005B5D42">
        <w:rPr>
          <w:rFonts w:ascii="Times New Roman" w:eastAsia="Newton-Regular" w:hAnsi="Times New Roman" w:cs="Times New Roman"/>
          <w:b/>
          <w:bCs/>
          <w:sz w:val="24"/>
          <w:szCs w:val="24"/>
        </w:rPr>
        <w:t>российское</w:t>
      </w:r>
      <w:proofErr w:type="spellEnd"/>
      <w:r w:rsidRPr="005B5D42">
        <w:rPr>
          <w:rFonts w:ascii="Times New Roman" w:eastAsia="Newton-Regular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5D42">
        <w:rPr>
          <w:rFonts w:ascii="Times New Roman" w:eastAsia="Newton-Regular" w:hAnsi="Times New Roman" w:cs="Times New Roman"/>
          <w:b/>
          <w:bCs/>
          <w:sz w:val="24"/>
          <w:szCs w:val="24"/>
        </w:rPr>
        <w:t>законотворчество</w:t>
      </w:r>
      <w:proofErr w:type="spellEnd"/>
    </w:p>
    <w:p w14:paraId="72E2C670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72BC02E6" w14:textId="10CC2D26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В настоящей статье — в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свете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автономного толкования ЕСПЧ понятия</w:t>
      </w:r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DA5D25">
        <w:rPr>
          <w:rFonts w:ascii="Cambria Math" w:eastAsia="Newton-Italic" w:hAnsi="Cambria Math" w:cs="Cambria Math"/>
          <w:i/>
          <w:iCs/>
          <w:sz w:val="24"/>
          <w:szCs w:val="24"/>
          <w:lang w:val="ru-RU"/>
        </w:rPr>
        <w:t>≪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уголовная сфера</w:t>
      </w:r>
      <w:r w:rsidRPr="00DA5D25">
        <w:rPr>
          <w:rFonts w:ascii="Cambria Math" w:eastAsia="Newton-Italic" w:hAnsi="Cambria Math" w:cs="Cambria Math"/>
          <w:i/>
          <w:iCs/>
          <w:sz w:val="24"/>
          <w:szCs w:val="24"/>
          <w:lang w:val="ru-RU"/>
        </w:rPr>
        <w:t>≫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— рассматриваются последние законодательные инициативы в административно-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деликтной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сфере. Отмечается необходимость учета</w:t>
      </w:r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такого толкования в новой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редакции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КоАП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РФ и принимаемом Процессуальном</w:t>
      </w:r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кодексе об административных правонарушениях. Автор находит необходимым</w:t>
      </w:r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доктринальное сближение указанных законов с действующим уголовным и уголовно-процессуальным законодательством.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Такой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вывод, в частности, делается им на основе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анализа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родственных уголовных и административно-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деликтных</w:t>
      </w:r>
      <w:proofErr w:type="spellEnd"/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санкций, практики их назначения.</w:t>
      </w:r>
    </w:p>
    <w:p w14:paraId="39766B63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64A76F52" w14:textId="70035AA1" w:rsidR="00202AE1" w:rsidRPr="00630E10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5B5D42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5B5D42">
        <w:rPr>
          <w:rFonts w:ascii="Times New Roman" w:eastAsia="Newton-Regular" w:hAnsi="Times New Roman" w:cs="Times New Roman"/>
          <w:sz w:val="24"/>
          <w:szCs w:val="24"/>
          <w:lang w:val="ru-RU"/>
        </w:rPr>
        <w:t>ЕСПЧ, уголовная сфера, КоАП, административное пра</w:t>
      </w:r>
      <w:r w:rsidRPr="00630E10">
        <w:rPr>
          <w:rFonts w:ascii="Times New Roman" w:eastAsia="Newton-Regular" w:hAnsi="Times New Roman" w:cs="Times New Roman"/>
          <w:sz w:val="24"/>
          <w:szCs w:val="24"/>
          <w:lang w:val="ru-RU"/>
        </w:rPr>
        <w:t>вонарушение.</w:t>
      </w:r>
    </w:p>
    <w:p w14:paraId="70F3A90C" w14:textId="77777777" w:rsidR="005B5D42" w:rsidRPr="00630E10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0F824D19" w14:textId="4D9C9A66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examines — in the light of the ECHR’s autonomous interpretation of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the concept of “criminal sphere” — the latest legislative proposals in the administrative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tort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sphere. The need to </w:t>
      </w:r>
      <w:proofErr w:type="gram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take into account</w:t>
      </w:r>
      <w:proofErr w:type="gram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this interpretation in the new edition of the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Code of Administrative Offenses of the Russian Federation and the newly adopted Procedural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Code of Administrative Offenses is noted. The author finds it necessary doctrinal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convergence of these laws with the current criminal and criminal procedure legislation.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This conclusion</w:t>
      </w:r>
      <w:proofErr w:type="gram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, in particular, is</w:t>
      </w:r>
      <w:proofErr w:type="gram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made by him on the basis of an analysis of related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criminal and administrative-tort sanctions, the practice of their appointment.</w:t>
      </w:r>
    </w:p>
    <w:p w14:paraId="483BDCF6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6EE57242" w14:textId="6C744F05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B5D42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5B5D42">
        <w:rPr>
          <w:rFonts w:ascii="Times New Roman" w:eastAsia="Newton-Regular" w:hAnsi="Times New Roman" w:cs="Times New Roman"/>
          <w:sz w:val="24"/>
          <w:szCs w:val="24"/>
        </w:rPr>
        <w:t>ECHR, criminal matter, Code of Administrative Offences, administrative</w:t>
      </w:r>
      <w:r w:rsidR="00630E10" w:rsidRPr="00630E1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5B5D42">
        <w:rPr>
          <w:rFonts w:ascii="Times New Roman" w:eastAsia="Newton-Regular" w:hAnsi="Times New Roman" w:cs="Times New Roman"/>
          <w:sz w:val="24"/>
          <w:szCs w:val="24"/>
        </w:rPr>
        <w:t>offence.</w:t>
      </w:r>
    </w:p>
    <w:p w14:paraId="69949B9B" w14:textId="77777777" w:rsidR="005B5D42" w:rsidRPr="00630E10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14:paraId="535869FC" w14:textId="3B98A23C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5B5D42">
        <w:rPr>
          <w:rFonts w:ascii="Times New Roman" w:eastAsia="Newton-Regular" w:hAnsi="Times New Roman" w:cs="Times New Roman"/>
          <w:sz w:val="24"/>
          <w:szCs w:val="24"/>
          <w:lang w:val="ru-RU"/>
        </w:rPr>
        <w:t>Проблемы криминалистики</w:t>
      </w:r>
    </w:p>
    <w:p w14:paraId="1578C101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</w:p>
    <w:p w14:paraId="0EF2682A" w14:textId="47A0803C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proofErr w:type="gramStart"/>
      <w:r w:rsidRPr="005B5D42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Е.С.</w:t>
      </w:r>
      <w:proofErr w:type="gramEnd"/>
      <w:r w:rsidRPr="005B5D42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Крюкова,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ассистент кафедры криминалистики юридического факультета МГУ</w:t>
      </w:r>
    </w:p>
    <w:p w14:paraId="1F8723C1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</w:p>
    <w:p w14:paraId="4266C0BD" w14:textId="77777777" w:rsidR="00630E10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С</w:t>
      </w:r>
      <w:r w:rsidRPr="005B5D42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оотношение закономерности</w:t>
      </w:r>
      <w:r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и случайности в фокусе криминалистики</w:t>
      </w:r>
      <w:r w:rsidR="00630E10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65A44AF5" w14:textId="193C892A" w:rsidR="00202AE1" w:rsidRPr="00630E10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  <w:r w:rsidRPr="00630E10"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  <w:lang w:val="ru-RU"/>
        </w:rPr>
        <w:t>(статья третья)</w:t>
      </w:r>
    </w:p>
    <w:p w14:paraId="4E6B1B60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01A3AC7F" w14:textId="783F12F6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 статье рассматриваются диалектические категории закономерности и</w:t>
      </w:r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случайности в аспекте криминалистической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науки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их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значение в раскрытии и</w:t>
      </w:r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расследовании преступлений.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Особое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внимание уделяется исследованию криминалистики в структуре юридических наук, общественных (гуманитарных) наук,</w:t>
      </w:r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связанных с деятельностью общества и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человека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 Исследуется вопрос включения</w:t>
      </w:r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случайностей в определение и предмет криминалистической науки, приводятся</w:t>
      </w:r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позиции отечественных и зарубежных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ученых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</w:t>
      </w:r>
    </w:p>
    <w:p w14:paraId="69AE8096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66378097" w14:textId="395953DE" w:rsidR="00202AE1" w:rsidRPr="00630E10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5B5D42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5B5D42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криминалистика, закономерность, случайность, предмет науки, юриспруденция, гуманитарная наука, парадокс, событие, </w:t>
      </w:r>
      <w:proofErr w:type="spellStart"/>
      <w:r w:rsidRPr="005B5D42">
        <w:rPr>
          <w:rFonts w:ascii="Times New Roman" w:eastAsia="Newton-Regular" w:hAnsi="Times New Roman" w:cs="Times New Roman"/>
          <w:sz w:val="24"/>
          <w:szCs w:val="24"/>
          <w:lang w:val="ru-RU"/>
        </w:rPr>
        <w:t>стоха</w:t>
      </w:r>
      <w:r w:rsidRPr="00630E10">
        <w:rPr>
          <w:rFonts w:ascii="Times New Roman" w:eastAsia="Newton-Regular" w:hAnsi="Times New Roman" w:cs="Times New Roman"/>
          <w:sz w:val="24"/>
          <w:szCs w:val="24"/>
          <w:lang w:val="ru-RU"/>
        </w:rPr>
        <w:t>стика</w:t>
      </w:r>
      <w:proofErr w:type="spellEnd"/>
      <w:r w:rsidRPr="00630E10">
        <w:rPr>
          <w:rFonts w:ascii="Times New Roman" w:eastAsia="Newton-Regular" w:hAnsi="Times New Roman" w:cs="Times New Roman"/>
          <w:sz w:val="24"/>
          <w:szCs w:val="24"/>
          <w:lang w:val="ru-RU"/>
        </w:rPr>
        <w:t>.</w:t>
      </w:r>
    </w:p>
    <w:p w14:paraId="0802C35A" w14:textId="77777777" w:rsidR="005B5D42" w:rsidRPr="00630E10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2687BAB9" w14:textId="62FAD1F0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discusses the dialectic categories of patterns and randomness in the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aspect of forensic science, their significance in the disclosure and investigation of crimes.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Particular attention is paid to the study of forensic science in the structure of legal sciences,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social sciences (humanities) related to the activities of society and man. The question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of the inclusion of randomness in the definition and subject of forensic science is studied,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the positions of Russian and foreign scientists are given.</w:t>
      </w:r>
    </w:p>
    <w:p w14:paraId="26942346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25C63606" w14:textId="114F3313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B5D42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5B5D42">
        <w:rPr>
          <w:rFonts w:ascii="Times New Roman" w:eastAsia="Newton-Regular" w:hAnsi="Times New Roman" w:cs="Times New Roman"/>
          <w:sz w:val="24"/>
          <w:szCs w:val="24"/>
        </w:rPr>
        <w:t>criminalistics, patterns (laws), randomness, subject of science, jurisprudence,</w:t>
      </w:r>
      <w:r w:rsidR="00630E10" w:rsidRPr="00630E1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5B5D42">
        <w:rPr>
          <w:rFonts w:ascii="Times New Roman" w:eastAsia="Newton-Regular" w:hAnsi="Times New Roman" w:cs="Times New Roman"/>
          <w:sz w:val="24"/>
          <w:szCs w:val="24"/>
        </w:rPr>
        <w:t>humanities, paradox, event, stochastics.</w:t>
      </w:r>
    </w:p>
    <w:p w14:paraId="29A0386B" w14:textId="77777777" w:rsidR="005B5D42" w:rsidRPr="00630E10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14:paraId="1EAA254F" w14:textId="1C19ECDA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5B5D42">
        <w:rPr>
          <w:rFonts w:ascii="Times New Roman" w:eastAsia="Newton-Regular" w:hAnsi="Times New Roman" w:cs="Times New Roman"/>
          <w:sz w:val="24"/>
          <w:szCs w:val="24"/>
          <w:lang w:val="ru-RU"/>
        </w:rPr>
        <w:t>Теоретические проблемы права</w:t>
      </w:r>
    </w:p>
    <w:p w14:paraId="7DC0B083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</w:p>
    <w:p w14:paraId="6486F1D4" w14:textId="58EC813D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proofErr w:type="gramStart"/>
      <w:r w:rsidRPr="005B5D42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Н.Е.</w:t>
      </w:r>
      <w:proofErr w:type="gramEnd"/>
      <w:r w:rsidRPr="005B5D42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Алёнкин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, кандидат юридических наук, государственный советник</w:t>
      </w:r>
      <w:r w:rsid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юстиции Российской Федерации 3 класса</w:t>
      </w:r>
    </w:p>
    <w:p w14:paraId="5B1C5CCB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</w:p>
    <w:p w14:paraId="122F54C3" w14:textId="0D360339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</w:pPr>
      <w:r w:rsidRPr="005B5D42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О юридической силе нормативных актов</w:t>
      </w:r>
      <w:r w:rsidR="005B5D42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Regular" w:hAnsi="Times New Roman" w:cs="Times New Roman"/>
          <w:b/>
          <w:bCs/>
          <w:sz w:val="24"/>
          <w:szCs w:val="24"/>
          <w:lang w:val="ru-RU"/>
        </w:rPr>
        <w:t>Банка России</w:t>
      </w:r>
    </w:p>
    <w:p w14:paraId="06FB4E9F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08EB2BC6" w14:textId="577B07EE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 статье рассматривается дискуссионный вопрос о месте нормативных</w:t>
      </w:r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актов Банка России в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иерархии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нормативных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правовых актов Российской Федерации.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Критикуется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распространенная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точка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зрения, что нормативные акты</w:t>
      </w:r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Банка России имеют более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высокую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юридическую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силу, чем федеральные законы</w:t>
      </w:r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и указы Президента РФ. С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опорой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на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действующее законодательство и практику регистрации нормативных актов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Минюстом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России обосновывается, что по</w:t>
      </w:r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юридической силе нормативные акты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Банка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России равны нормативным правовым актам федеральных органов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исполнительной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власти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</w:t>
      </w:r>
    </w:p>
    <w:p w14:paraId="1742F63E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535E9D34" w14:textId="48120949" w:rsidR="00202AE1" w:rsidRPr="00630E10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5B5D42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5B5D42">
        <w:rPr>
          <w:rFonts w:ascii="Times New Roman" w:eastAsia="Newton-Regular" w:hAnsi="Times New Roman" w:cs="Times New Roman"/>
          <w:sz w:val="24"/>
          <w:szCs w:val="24"/>
          <w:lang w:val="ru-RU"/>
        </w:rPr>
        <w:t>Банк России, федеральный орган исполнительной власти, ведомственный нормативный правовой акт, юридическая сила, Минюст</w:t>
      </w:r>
      <w:r w:rsidR="00630E10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630E10">
        <w:rPr>
          <w:rFonts w:ascii="Times New Roman" w:eastAsia="Newton-Regular" w:hAnsi="Times New Roman" w:cs="Times New Roman"/>
          <w:sz w:val="24"/>
          <w:szCs w:val="24"/>
          <w:lang w:val="ru-RU"/>
        </w:rPr>
        <w:t>России.</w:t>
      </w:r>
    </w:p>
    <w:p w14:paraId="756D60F5" w14:textId="77777777" w:rsidR="005B5D42" w:rsidRPr="00630E10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2F6F8B6B" w14:textId="243630A8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deals with controversial issue of the rank of Bank of Russia regulatory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acts in the power structure of normative legal acts in the Russian Federation. A popular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concept, criticized in the article, states that these acts have more legal force than federal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laws and edicts of the President of the Russian Federation. The author provides various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arguments supported by current legislation and practice of registration of regulatory acts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by Ministry of Justice of Russia that regulatory acts of Bank of Russia are equal to normative</w:t>
      </w:r>
      <w:r w:rsidR="00630E10" w:rsidRPr="00630E10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legal acts of federal executive bodies in terms of the legal force.</w:t>
      </w:r>
    </w:p>
    <w:p w14:paraId="70DD94B0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5C08A888" w14:textId="583DCFF7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B5D42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5B5D42">
        <w:rPr>
          <w:rFonts w:ascii="Times New Roman" w:eastAsia="Newton-Regular" w:hAnsi="Times New Roman" w:cs="Times New Roman"/>
          <w:sz w:val="24"/>
          <w:szCs w:val="24"/>
        </w:rPr>
        <w:t>Bank of Russia, federal executive body, departmental normative legal</w:t>
      </w:r>
      <w:r w:rsidR="00630E10" w:rsidRPr="00630E1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5B5D42">
        <w:rPr>
          <w:rFonts w:ascii="Times New Roman" w:eastAsia="Newton-Regular" w:hAnsi="Times New Roman" w:cs="Times New Roman"/>
          <w:sz w:val="24"/>
          <w:szCs w:val="24"/>
        </w:rPr>
        <w:t>act, legal force, Ministry of Justice of Russia.</w:t>
      </w:r>
    </w:p>
    <w:p w14:paraId="6D9E9E82" w14:textId="77777777" w:rsidR="005B5D42" w:rsidRPr="00630E10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</w:p>
    <w:p w14:paraId="4FA96762" w14:textId="422859F8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  <w:r w:rsidRPr="005B5D42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Проблемы университетского</w:t>
      </w:r>
      <w:r w:rsidR="005B5D42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образования</w:t>
      </w:r>
    </w:p>
    <w:p w14:paraId="55D7D0A8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1BFDAFF" w14:textId="32E51800" w:rsidR="00202AE1" w:rsidRPr="00630E10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proofErr w:type="gramStart"/>
      <w:r w:rsidRPr="005B5D42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Н.А.</w:t>
      </w:r>
      <w:proofErr w:type="gramEnd"/>
      <w:r w:rsidRPr="005B5D42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 Захаренко</w:t>
      </w:r>
      <w:r w:rsidRPr="005B5D42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, кандидат социологических наук, старший научный</w:t>
      </w:r>
      <w:r w:rsidR="00630E10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сотрудник лаборатории социально-правовых исследований и сравнительного правоведения юридического факультета МГУ</w:t>
      </w:r>
      <w:r w:rsidRPr="005B5D42">
        <w:rPr>
          <w:rFonts w:ascii="Times New Roman" w:eastAsia="Newton-Italic" w:hAnsi="Times New Roman" w:cs="Times New Roman"/>
          <w:i/>
          <w:iCs/>
          <w:color w:val="FFFFFF"/>
          <w:sz w:val="24"/>
          <w:szCs w:val="24"/>
          <w:lang w:val="ru-RU"/>
        </w:rPr>
        <w:t>28</w:t>
      </w:r>
      <w:r w:rsidRPr="005B5D42">
        <w:rPr>
          <w:rFonts w:ascii="Cambria Math" w:eastAsia="Newton-Regular" w:hAnsi="Cambria Math" w:cs="Cambria Math"/>
          <w:color w:val="FFFFFF"/>
          <w:sz w:val="24"/>
          <w:szCs w:val="24"/>
          <w:lang w:val="ru-RU"/>
        </w:rPr>
        <w:t>∗</w:t>
      </w:r>
    </w:p>
    <w:p w14:paraId="5A4191B7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B2D738B" w14:textId="31A5B3B2" w:rsidR="00202AE1" w:rsidRPr="00630E10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r w:rsidRPr="005B5D42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А.В. Клочкова</w:t>
      </w:r>
      <w:r w:rsidRPr="005B5D42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, кандидат социологических наук,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зав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. лабораторией социально-правовых исследований и сравнительного правоведения юридического факультета МГУ</w:t>
      </w:r>
      <w:r w:rsidRPr="005B5D42">
        <w:rPr>
          <w:rFonts w:ascii="Times New Roman" w:eastAsia="Newton-Italic" w:hAnsi="Times New Roman" w:cs="Times New Roman"/>
          <w:i/>
          <w:iCs/>
          <w:color w:val="FFFFFF"/>
          <w:sz w:val="24"/>
          <w:szCs w:val="24"/>
          <w:lang w:val="ru-RU"/>
        </w:rPr>
        <w:t>29</w:t>
      </w:r>
    </w:p>
    <w:p w14:paraId="5C748C3D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0126D34" w14:textId="3B439819" w:rsidR="00202AE1" w:rsidRP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5B5D42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истанционное образование в высшей школе:</w:t>
      </w:r>
      <w:r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за и против</w:t>
      </w:r>
    </w:p>
    <w:p w14:paraId="4D59BB23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196B2F7E" w14:textId="2C8AD34A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Статья посвящена проблеме дистанционного образования, ставшей крайне</w:t>
      </w:r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актуальной в период пандемии и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самоизоляции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 Показаны как положительные,</w:t>
      </w:r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так и отрицательные стороны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перехода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на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онлайн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-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обучение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 На основе обзора</w:t>
      </w:r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результатов проведенных эмпирических исследований по вопросам дистанционного образования, в том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числе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авторского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делается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вывод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о том, что отказ</w:t>
      </w:r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от традиционных форм обучения и переориентация на дистанционную модель</w:t>
      </w:r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в стратегическом плане негативно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отразится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на эффективности и качестве</w:t>
      </w:r>
      <w:r w:rsidR="00630E10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высшего образования.</w:t>
      </w:r>
    </w:p>
    <w:p w14:paraId="1F322AFC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0351B8B3" w14:textId="7CAF9FBF" w:rsidR="00202AE1" w:rsidRPr="00630E10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5B5D42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5B5D42">
        <w:rPr>
          <w:rFonts w:ascii="Times New Roman" w:eastAsia="Newton-Regular" w:hAnsi="Times New Roman" w:cs="Times New Roman"/>
          <w:sz w:val="24"/>
          <w:szCs w:val="24"/>
          <w:lang w:val="ru-RU"/>
        </w:rPr>
        <w:t>дистанционное образование в вузе, цифровизация общества, образование в условиях самоизоляции, инклюзивное образование,</w:t>
      </w:r>
      <w:r w:rsidR="00630E10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Regular" w:hAnsi="Times New Roman" w:cs="Times New Roman"/>
          <w:sz w:val="24"/>
          <w:szCs w:val="24"/>
          <w:lang w:val="ru-RU"/>
        </w:rPr>
        <w:t>особенности дистанционного обучения, социологические исследования, эм</w:t>
      </w:r>
      <w:r w:rsidRPr="00630E10">
        <w:rPr>
          <w:rFonts w:ascii="Times New Roman" w:eastAsia="Newton-Regular" w:hAnsi="Times New Roman" w:cs="Times New Roman"/>
          <w:sz w:val="24"/>
          <w:szCs w:val="24"/>
          <w:lang w:val="ru-RU"/>
        </w:rPr>
        <w:t>пирические данные.</w:t>
      </w:r>
    </w:p>
    <w:p w14:paraId="5ABF06D4" w14:textId="77777777" w:rsidR="005B5D42" w:rsidRPr="00630E10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7E925FAC" w14:textId="0ADC0A02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lastRenderedPageBreak/>
        <w:t>The article is devoted to the problem of distance education, which became extremely</w:t>
      </w:r>
      <w:r w:rsidR="00DA5D25" w:rsidRPr="00DA5D2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urgent during the pandemic and self-isolation. Both the positive and negative sides of</w:t>
      </w:r>
      <w:r w:rsidR="00DA5D25" w:rsidRPr="00DA5D2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the transition to online learning are shown. Based on a review of the results of empirical</w:t>
      </w:r>
      <w:r w:rsidR="00DA5D25" w:rsidRPr="00DA5D2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studies on distance education, including copyright, it is concluded that the rejection of</w:t>
      </w:r>
      <w:r w:rsidR="00DA5D25" w:rsidRPr="00DA5D2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traditional forms of education and reorientation to the distance model in the strategic</w:t>
      </w:r>
      <w:r w:rsidR="00DA5D25" w:rsidRPr="00DA5D2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plan will negatively affect the effectiveness and quality of higher education.</w:t>
      </w:r>
    </w:p>
    <w:p w14:paraId="5D96A454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0B4D296F" w14:textId="61E71979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B5D42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5B5D42">
        <w:rPr>
          <w:rFonts w:ascii="Times New Roman" w:eastAsia="Newton-Regular" w:hAnsi="Times New Roman" w:cs="Times New Roman"/>
          <w:sz w:val="24"/>
          <w:szCs w:val="24"/>
        </w:rPr>
        <w:t>distance education at a university, digitalization of society, education</w:t>
      </w:r>
      <w:r w:rsidR="005B5D42" w:rsidRPr="005B5D42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5B5D42">
        <w:rPr>
          <w:rFonts w:ascii="Times New Roman" w:eastAsia="Newton-Regular" w:hAnsi="Times New Roman" w:cs="Times New Roman"/>
          <w:sz w:val="24"/>
          <w:szCs w:val="24"/>
        </w:rPr>
        <w:t>in conditions of self-isolation, inclusive education, sociological studies, empirical</w:t>
      </w:r>
      <w:r w:rsidR="005B5D42" w:rsidRPr="005B5D42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5B5D42">
        <w:rPr>
          <w:rFonts w:ascii="Times New Roman" w:eastAsia="Newton-Regular" w:hAnsi="Times New Roman" w:cs="Times New Roman"/>
          <w:sz w:val="24"/>
          <w:szCs w:val="24"/>
        </w:rPr>
        <w:t>data.</w:t>
      </w:r>
    </w:p>
    <w:p w14:paraId="4C0D3DCB" w14:textId="77777777" w:rsidR="005B5D42" w:rsidRP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</w:p>
    <w:p w14:paraId="2DE1C53F" w14:textId="772B1D3A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</w:pPr>
      <w:r w:rsidRPr="005B5D42">
        <w:rPr>
          <w:rFonts w:ascii="Times New Roman" w:eastAsia="Newton-Regular" w:hAnsi="Times New Roman" w:cs="Times New Roman"/>
          <w:color w:val="000000"/>
          <w:sz w:val="24"/>
          <w:szCs w:val="24"/>
          <w:lang w:val="ru-RU"/>
        </w:rPr>
        <w:t>Трибуна молодых ученых</w:t>
      </w:r>
    </w:p>
    <w:p w14:paraId="676A2C6F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FBBCE35" w14:textId="3A16456E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proofErr w:type="gramStart"/>
      <w:r w:rsidRPr="005B5D42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С.А.</w:t>
      </w:r>
      <w:proofErr w:type="gramEnd"/>
      <w:r w:rsidRPr="005B5D42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 Кондратьев</w:t>
      </w:r>
      <w:r w:rsidRPr="005B5D42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, аспирант кафедры уголовного процесса, правосудия и</w:t>
      </w:r>
      <w:r w:rsidR="005B5D42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прокурорского надзора юридического факультета МГУ</w:t>
      </w:r>
      <w:r w:rsidRPr="005B5D42">
        <w:rPr>
          <w:rFonts w:ascii="Times New Roman" w:eastAsia="Newton-Italic" w:hAnsi="Times New Roman" w:cs="Times New Roman"/>
          <w:i/>
          <w:iCs/>
          <w:color w:val="FFFFFF"/>
          <w:sz w:val="24"/>
          <w:szCs w:val="24"/>
          <w:lang w:val="ru-RU"/>
        </w:rPr>
        <w:t>28</w:t>
      </w:r>
      <w:r w:rsidRPr="005B5D42">
        <w:rPr>
          <w:rFonts w:ascii="Cambria Math" w:eastAsia="Newton-Regular" w:hAnsi="Cambria Math" w:cs="Cambria Math"/>
          <w:color w:val="FFFFFF"/>
          <w:sz w:val="24"/>
          <w:szCs w:val="24"/>
          <w:lang w:val="ru-RU"/>
        </w:rPr>
        <w:t>∗</w:t>
      </w:r>
    </w:p>
    <w:p w14:paraId="10706628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EAF0069" w14:textId="4BFFEBB2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</w:pPr>
      <w:r w:rsidRPr="005B5D42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Англо-американский институт отсрочки</w:t>
      </w:r>
      <w:r w:rsidR="005B5D42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  <w:lang w:val="ru-RU"/>
        </w:rPr>
        <w:t>назначения наказания как альтернатива</w:t>
      </w:r>
    </w:p>
    <w:p w14:paraId="514B9E94" w14:textId="7B8A2831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5B5D42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</w:rPr>
        <w:t>традиционной</w:t>
      </w:r>
      <w:proofErr w:type="spellEnd"/>
      <w:r w:rsidRPr="005B5D42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B5D42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</w:rPr>
        <w:t>реакции</w:t>
      </w:r>
      <w:proofErr w:type="spellEnd"/>
      <w:r w:rsidRPr="005B5D42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B5D42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5B5D42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B5D42">
        <w:rPr>
          <w:rFonts w:ascii="Times New Roman" w:eastAsia="Newton-Regular" w:hAnsi="Times New Roman" w:cs="Times New Roman"/>
          <w:b/>
          <w:bCs/>
          <w:color w:val="000000"/>
          <w:sz w:val="24"/>
          <w:szCs w:val="24"/>
        </w:rPr>
        <w:t>преступление</w:t>
      </w:r>
      <w:proofErr w:type="spellEnd"/>
    </w:p>
    <w:p w14:paraId="370B04CB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297C47F0" w14:textId="2BAAFFBD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В статье анализируется право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судьи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Англии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и США отсрочить назначение наказания.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Основанный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на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давнем разделении разбирательства уголовного</w:t>
      </w:r>
      <w:r w:rsidR="00DA5D25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дела по существу на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относительно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самостоятельные этапы разрешения вопроса</w:t>
      </w:r>
      <w:r w:rsidR="00DA5D25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о виновности, с одной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стороны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, и надлежащей индивидуализации уголовной ответственности — с другой, англо-американский уголовный процесс позволяет</w:t>
      </w:r>
      <w:r w:rsidR="00DA5D25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судье при определенных обстоятельствах отложить назначение наказания, с</w:t>
      </w:r>
      <w:r w:rsidR="00DA5D25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тем чтобы побудить осужденного к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активному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исправлению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. Отражая потребность в гибкости уголовной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юстиции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, данный институт представляет собой</w:t>
      </w:r>
      <w:r w:rsidR="00DA5D25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реальную альтернативу уголовному наказанию.</w:t>
      </w:r>
    </w:p>
    <w:p w14:paraId="3A1593CA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7E34DCED" w14:textId="5D619BD6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5B5D42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5B5D42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индивидуализация уголовной ответственности, принцип цезуры, отсрочка назначения </w:t>
      </w:r>
      <w:proofErr w:type="spellStart"/>
      <w:r w:rsidRPr="005B5D42">
        <w:rPr>
          <w:rFonts w:ascii="Times New Roman" w:eastAsia="Newton-Regular" w:hAnsi="Times New Roman" w:cs="Times New Roman"/>
          <w:sz w:val="24"/>
          <w:szCs w:val="24"/>
          <w:lang w:val="ru-RU"/>
        </w:rPr>
        <w:t>наказания</w:t>
      </w:r>
      <w:proofErr w:type="spellEnd"/>
      <w:r w:rsidRPr="005B5D42">
        <w:rPr>
          <w:rFonts w:ascii="Times New Roman" w:eastAsia="Newton-Regular" w:hAnsi="Times New Roman" w:cs="Times New Roman"/>
          <w:sz w:val="24"/>
          <w:szCs w:val="24"/>
          <w:lang w:val="ru-RU"/>
        </w:rPr>
        <w:t>.</w:t>
      </w:r>
    </w:p>
    <w:p w14:paraId="12B1EE56" w14:textId="77777777" w:rsidR="005B5D42" w:rsidRPr="00DA5D25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033A3E50" w14:textId="64CF48BE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analyzes the right of a judge in England and the USA to defer sentence.</w:t>
      </w:r>
      <w:r w:rsidR="00DA5D25" w:rsidRPr="00DA5D2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Based on long-standing division of the criminal proceedings on merits into trial and sentencing</w:t>
      </w:r>
      <w:r w:rsidR="00DA5D25" w:rsidRPr="00DA5D2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stages,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anglo-american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criminal procedure empowers a judge in the certain cases</w:t>
      </w:r>
      <w:r w:rsidR="00DA5D25" w:rsidRPr="00DA5D2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to defer sentence </w:t>
      </w:r>
      <w:proofErr w:type="gram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in order to</w:t>
      </w:r>
      <w:proofErr w:type="gram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induce a convicted person to correct his behaviour. Reflecting</w:t>
      </w:r>
      <w:r w:rsidR="00DA5D25" w:rsidRPr="00DA5D2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the need for flexibility in criminal justice, this institution represents a real alternative</w:t>
      </w:r>
      <w:r w:rsidR="00DA5D25" w:rsidRPr="00DA5D2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to a criminal punishment.</w:t>
      </w:r>
    </w:p>
    <w:p w14:paraId="5B474A58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7D95A9DA" w14:textId="0446CAD0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B5D42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5B5D42">
        <w:rPr>
          <w:rFonts w:ascii="Times New Roman" w:eastAsia="Newton-Regular" w:hAnsi="Times New Roman" w:cs="Times New Roman"/>
          <w:sz w:val="24"/>
          <w:szCs w:val="24"/>
        </w:rPr>
        <w:t>individualization of criminal liability, principle of caesura, deferment</w:t>
      </w:r>
      <w:r w:rsidR="00DA5D25" w:rsidRPr="00DA5D2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5B5D42">
        <w:rPr>
          <w:rFonts w:ascii="Times New Roman" w:eastAsia="Newton-Regular" w:hAnsi="Times New Roman" w:cs="Times New Roman"/>
          <w:sz w:val="24"/>
          <w:szCs w:val="24"/>
        </w:rPr>
        <w:t>of sentence.</w:t>
      </w:r>
    </w:p>
    <w:p w14:paraId="54726BC8" w14:textId="77777777" w:rsidR="005B5D42" w:rsidRPr="00DA5D25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AFD35" w14:textId="7D0A8910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5B5D4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Р.Б. </w:t>
      </w:r>
      <w:proofErr w:type="spellStart"/>
      <w:r w:rsidRPr="005B5D42">
        <w:rPr>
          <w:rFonts w:ascii="Times New Roman" w:hAnsi="Times New Roman" w:cs="Times New Roman"/>
          <w:b/>
          <w:bCs/>
          <w:sz w:val="24"/>
          <w:szCs w:val="24"/>
          <w:lang w:val="ru-RU"/>
        </w:rPr>
        <w:t>Дзейтова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, аспирантка кафедры уголовного права и криминологии</w:t>
      </w:r>
      <w:r w:rsidR="00DA5D25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юридического факультета МГУ</w:t>
      </w:r>
    </w:p>
    <w:p w14:paraId="249BAA6C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CA5FBEA" w14:textId="615CCAFE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5D42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Становление и соотношение понятий</w:t>
      </w:r>
      <w:r w:rsidR="00DA5D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B5D42">
        <w:rPr>
          <w:rFonts w:ascii="Times New Roman" w:hAnsi="Times New Roman" w:cs="Times New Roman"/>
          <w:b/>
          <w:bCs/>
          <w:sz w:val="24"/>
          <w:szCs w:val="24"/>
          <w:lang w:val="ru-RU"/>
        </w:rPr>
        <w:t>«войны», «агрессии» и «агрессивной войны»</w:t>
      </w:r>
    </w:p>
    <w:p w14:paraId="26BE1235" w14:textId="77777777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5D42">
        <w:rPr>
          <w:rFonts w:ascii="Times New Roman" w:hAnsi="Times New Roman" w:cs="Times New Roman"/>
          <w:b/>
          <w:bCs/>
          <w:sz w:val="24"/>
          <w:szCs w:val="24"/>
          <w:lang w:val="ru-RU"/>
        </w:rPr>
        <w:t>в международном уголовном праве</w:t>
      </w:r>
    </w:p>
    <w:p w14:paraId="3FEF6026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235DA027" w14:textId="7981022B" w:rsidR="00202AE1" w:rsidRPr="00DA5D25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Война сопровождала человечество с момента его появления и вплоть до</w:t>
      </w:r>
      <w:r w:rsidR="00DA5D25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XX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в.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не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существовало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правового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запрета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на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ведение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войн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 Закрепление такого</w:t>
      </w:r>
      <w:r w:rsidR="00DA5D25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запрета было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lastRenderedPageBreak/>
        <w:t xml:space="preserve">сопряжено с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трудностями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 определении понятийного аппарата, в</w:t>
      </w:r>
      <w:r w:rsidR="00DA5D25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частности понятий </w:t>
      </w:r>
      <w:r w:rsidRPr="005B5D42">
        <w:rPr>
          <w:rFonts w:ascii="Cambria Math" w:eastAsia="Newton-Italic" w:hAnsi="Cambria Math" w:cs="Cambria Math"/>
          <w:i/>
          <w:iCs/>
          <w:sz w:val="24"/>
          <w:szCs w:val="24"/>
          <w:lang w:val="ru-RU"/>
        </w:rPr>
        <w:t>≪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война</w:t>
      </w:r>
      <w:r w:rsidRPr="005B5D42">
        <w:rPr>
          <w:rFonts w:ascii="Cambria Math" w:eastAsia="Newton-Italic" w:hAnsi="Cambria Math" w:cs="Cambria Math"/>
          <w:i/>
          <w:iCs/>
          <w:sz w:val="24"/>
          <w:szCs w:val="24"/>
          <w:lang w:val="ru-RU"/>
        </w:rPr>
        <w:t>≫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5B5D42">
        <w:rPr>
          <w:rFonts w:ascii="Cambria Math" w:eastAsia="Newton-Italic" w:hAnsi="Cambria Math" w:cs="Cambria Math"/>
          <w:i/>
          <w:iCs/>
          <w:sz w:val="24"/>
          <w:szCs w:val="24"/>
          <w:lang w:val="ru-RU"/>
        </w:rPr>
        <w:t>≪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агрессия</w:t>
      </w:r>
      <w:r w:rsidRPr="005B5D42">
        <w:rPr>
          <w:rFonts w:ascii="Cambria Math" w:eastAsia="Newton-Italic" w:hAnsi="Cambria Math" w:cs="Cambria Math"/>
          <w:i/>
          <w:iCs/>
          <w:sz w:val="24"/>
          <w:szCs w:val="24"/>
          <w:lang w:val="ru-RU"/>
        </w:rPr>
        <w:t>≫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и </w:t>
      </w:r>
      <w:r w:rsidRPr="005B5D42">
        <w:rPr>
          <w:rFonts w:ascii="Cambria Math" w:eastAsia="Newton-Italic" w:hAnsi="Cambria Math" w:cs="Cambria Math"/>
          <w:i/>
          <w:iCs/>
          <w:sz w:val="24"/>
          <w:szCs w:val="24"/>
          <w:lang w:val="ru-RU"/>
        </w:rPr>
        <w:t>≪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агрессивная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война</w:t>
      </w:r>
      <w:proofErr w:type="spellEnd"/>
      <w:r w:rsidRPr="005B5D42">
        <w:rPr>
          <w:rFonts w:ascii="Cambria Math" w:eastAsia="Newton-Italic" w:hAnsi="Cambria Math" w:cs="Cambria Math"/>
          <w:i/>
          <w:iCs/>
          <w:sz w:val="24"/>
          <w:szCs w:val="24"/>
          <w:lang w:val="ru-RU"/>
        </w:rPr>
        <w:t>≫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 В данной статье</w:t>
      </w:r>
      <w:r w:rsidR="00DA5D25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исследуется процесс становления данных </w:t>
      </w:r>
      <w:proofErr w:type="spell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понятий</w:t>
      </w:r>
      <w:proofErr w:type="spell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и выявление их соотношения</w:t>
      </w:r>
      <w:r w:rsidR="00DA5D25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на основе изучения международно-правовых документов и практики междуна</w:t>
      </w:r>
      <w:r w:rsidRPr="00DA5D25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родных трибуналов.</w:t>
      </w:r>
    </w:p>
    <w:p w14:paraId="402DEC68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05C07F69" w14:textId="736E75EF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5B5D42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5B5D42">
        <w:rPr>
          <w:rFonts w:ascii="Times New Roman" w:eastAsia="Newton-Regular" w:hAnsi="Times New Roman" w:cs="Times New Roman"/>
          <w:sz w:val="24"/>
          <w:szCs w:val="24"/>
          <w:lang w:val="ru-RU"/>
        </w:rPr>
        <w:t>международное уголовное право, преступление против</w:t>
      </w:r>
      <w:r w:rsidR="00DA5D25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5B5D42">
        <w:rPr>
          <w:rFonts w:ascii="Times New Roman" w:eastAsia="Newton-Regular" w:hAnsi="Times New Roman" w:cs="Times New Roman"/>
          <w:sz w:val="24"/>
          <w:szCs w:val="24"/>
          <w:lang w:val="ru-RU"/>
        </w:rPr>
        <w:t>мира, война, агрессия, агрессивная война, доктрина справедливой войны.</w:t>
      </w:r>
    </w:p>
    <w:p w14:paraId="34F5FC30" w14:textId="77777777" w:rsidR="00DA5D25" w:rsidRDefault="00DA5D25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2907BF82" w14:textId="6B97FABF" w:rsidR="00202AE1" w:rsidRPr="005B5D42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The war accompanied mankind from the moment of its appearance until the XX</w:t>
      </w:r>
      <w:r w:rsidR="00DA5D25" w:rsidRPr="00DA5D2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century. there was no legal prohibition on warfare. Fixation of prohibition was associated</w:t>
      </w:r>
      <w:r w:rsidR="00DA5D25" w:rsidRPr="00DA5D2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with difficulties in defining the conceptual framework, </w:t>
      </w:r>
      <w:proofErr w:type="gramStart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in particular the</w:t>
      </w:r>
      <w:proofErr w:type="gramEnd"/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concepts of “war”,</w:t>
      </w:r>
      <w:r w:rsidR="00DA5D25" w:rsidRPr="00DA5D2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“aggression” and “aggressive war”. This article examines the process of formation of these</w:t>
      </w:r>
      <w:r w:rsidR="00DA5D25" w:rsidRPr="00DA5D2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concepts and the identification of their relationship based on the study of international</w:t>
      </w:r>
      <w:r w:rsidR="00DA5D25" w:rsidRPr="00DA5D25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5B5D42">
        <w:rPr>
          <w:rFonts w:ascii="Times New Roman" w:eastAsia="Newton-Italic" w:hAnsi="Times New Roman" w:cs="Times New Roman"/>
          <w:i/>
          <w:iCs/>
          <w:sz w:val="24"/>
          <w:szCs w:val="24"/>
        </w:rPr>
        <w:t>legal documents and the practice of international tribunals.</w:t>
      </w:r>
    </w:p>
    <w:p w14:paraId="0D039B83" w14:textId="77777777" w:rsidR="005B5D42" w:rsidRDefault="005B5D42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7EC95336" w14:textId="59B90B80" w:rsidR="00202AE1" w:rsidRPr="00DA5D25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B5D42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5B5D42">
        <w:rPr>
          <w:rFonts w:ascii="Times New Roman" w:eastAsia="Newton-Regular" w:hAnsi="Times New Roman" w:cs="Times New Roman"/>
          <w:sz w:val="24"/>
          <w:szCs w:val="24"/>
        </w:rPr>
        <w:t>international criminal law, crime against peace, war, aggression, aggressive</w:t>
      </w:r>
      <w:r w:rsidR="00DA5D25" w:rsidRPr="00DA5D2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5B5D42">
        <w:rPr>
          <w:rFonts w:ascii="Times New Roman" w:eastAsia="Newton-Regular" w:hAnsi="Times New Roman" w:cs="Times New Roman"/>
          <w:sz w:val="24"/>
          <w:szCs w:val="24"/>
        </w:rPr>
        <w:t>war, just war doctrine.</w:t>
      </w:r>
    </w:p>
    <w:p w14:paraId="5403B932" w14:textId="77777777" w:rsidR="00202AE1" w:rsidRPr="00DA5D25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</w:p>
    <w:p w14:paraId="33A9150C" w14:textId="77777777" w:rsidR="00202AE1" w:rsidRPr="00DA5D25" w:rsidRDefault="00202AE1" w:rsidP="005B5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color w:val="000000"/>
          <w:sz w:val="24"/>
          <w:szCs w:val="24"/>
        </w:rPr>
      </w:pPr>
    </w:p>
    <w:p w14:paraId="0F19390E" w14:textId="105B2D07" w:rsidR="00DA5D25" w:rsidRPr="009C2036" w:rsidRDefault="00527666" w:rsidP="00DA5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27666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</w:p>
    <w:p w14:paraId="09134D4C" w14:textId="289004B1" w:rsidR="00527666" w:rsidRPr="009C2036" w:rsidRDefault="00527666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14:paraId="11AD1048" w14:textId="77777777" w:rsidR="00B8618C" w:rsidRPr="009C2036" w:rsidRDefault="00B8618C" w:rsidP="000A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303A95" w14:textId="39443614" w:rsidR="00F72381" w:rsidRPr="00DE2B12" w:rsidRDefault="00F72381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72381" w:rsidRPr="00DE2B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ton-Regular">
    <w:altName w:val="Yu Gothic"/>
    <w:panose1 w:val="00000000000000000000"/>
    <w:charset w:val="80"/>
    <w:family w:val="roman"/>
    <w:notTrueType/>
    <w:pitch w:val="default"/>
    <w:sig w:usb0="00000201" w:usb1="09070000" w:usb2="00000010" w:usb3="00000000" w:csb0="000A0004" w:csb1="00000000"/>
  </w:font>
  <w:font w:name="Newton-Italic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Newton-BoldItalic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7D"/>
    <w:rsid w:val="000012EC"/>
    <w:rsid w:val="00011986"/>
    <w:rsid w:val="00020C44"/>
    <w:rsid w:val="00025DA7"/>
    <w:rsid w:val="00026E75"/>
    <w:rsid w:val="00040FAA"/>
    <w:rsid w:val="00041D9B"/>
    <w:rsid w:val="0004656D"/>
    <w:rsid w:val="000468D5"/>
    <w:rsid w:val="000575A3"/>
    <w:rsid w:val="00060BC5"/>
    <w:rsid w:val="00075C74"/>
    <w:rsid w:val="00094A79"/>
    <w:rsid w:val="000A5630"/>
    <w:rsid w:val="000B11F6"/>
    <w:rsid w:val="000B3344"/>
    <w:rsid w:val="000C368D"/>
    <w:rsid w:val="000D7D1A"/>
    <w:rsid w:val="00117044"/>
    <w:rsid w:val="00121AAA"/>
    <w:rsid w:val="00132FA1"/>
    <w:rsid w:val="00134125"/>
    <w:rsid w:val="001450AB"/>
    <w:rsid w:val="001628F7"/>
    <w:rsid w:val="00163605"/>
    <w:rsid w:val="00186181"/>
    <w:rsid w:val="001B351B"/>
    <w:rsid w:val="001C58F5"/>
    <w:rsid w:val="001F50D3"/>
    <w:rsid w:val="00200B4E"/>
    <w:rsid w:val="00202AE1"/>
    <w:rsid w:val="00204124"/>
    <w:rsid w:val="0021354D"/>
    <w:rsid w:val="0024680C"/>
    <w:rsid w:val="002554BF"/>
    <w:rsid w:val="002578E0"/>
    <w:rsid w:val="00276CA3"/>
    <w:rsid w:val="002917C7"/>
    <w:rsid w:val="002958C3"/>
    <w:rsid w:val="002972C0"/>
    <w:rsid w:val="002A43EF"/>
    <w:rsid w:val="002C56F1"/>
    <w:rsid w:val="002D15A8"/>
    <w:rsid w:val="002D4A7C"/>
    <w:rsid w:val="002E48E4"/>
    <w:rsid w:val="002F1B6B"/>
    <w:rsid w:val="0031535D"/>
    <w:rsid w:val="00334CF7"/>
    <w:rsid w:val="0035538D"/>
    <w:rsid w:val="00366500"/>
    <w:rsid w:val="00366892"/>
    <w:rsid w:val="00366C5D"/>
    <w:rsid w:val="00395AA1"/>
    <w:rsid w:val="003C1349"/>
    <w:rsid w:val="003C1B4C"/>
    <w:rsid w:val="003C485A"/>
    <w:rsid w:val="003D349C"/>
    <w:rsid w:val="003E028C"/>
    <w:rsid w:val="003F4F93"/>
    <w:rsid w:val="00410E59"/>
    <w:rsid w:val="00412688"/>
    <w:rsid w:val="0041777B"/>
    <w:rsid w:val="00480682"/>
    <w:rsid w:val="00485066"/>
    <w:rsid w:val="004A3297"/>
    <w:rsid w:val="004E0064"/>
    <w:rsid w:val="004E63EA"/>
    <w:rsid w:val="00523270"/>
    <w:rsid w:val="0052501C"/>
    <w:rsid w:val="00527666"/>
    <w:rsid w:val="005379FA"/>
    <w:rsid w:val="00542501"/>
    <w:rsid w:val="00551CB4"/>
    <w:rsid w:val="00551DFF"/>
    <w:rsid w:val="00571F1F"/>
    <w:rsid w:val="005734A5"/>
    <w:rsid w:val="0057765B"/>
    <w:rsid w:val="005826A2"/>
    <w:rsid w:val="00587AC5"/>
    <w:rsid w:val="005B2726"/>
    <w:rsid w:val="005B5D42"/>
    <w:rsid w:val="005D07A8"/>
    <w:rsid w:val="005E23C8"/>
    <w:rsid w:val="00602221"/>
    <w:rsid w:val="0060720B"/>
    <w:rsid w:val="0062793D"/>
    <w:rsid w:val="00630E10"/>
    <w:rsid w:val="00654853"/>
    <w:rsid w:val="006666B4"/>
    <w:rsid w:val="006B0B3F"/>
    <w:rsid w:val="006B354F"/>
    <w:rsid w:val="00700213"/>
    <w:rsid w:val="00702F94"/>
    <w:rsid w:val="007072EB"/>
    <w:rsid w:val="007102D2"/>
    <w:rsid w:val="00711F8E"/>
    <w:rsid w:val="007136F9"/>
    <w:rsid w:val="00792819"/>
    <w:rsid w:val="0079686C"/>
    <w:rsid w:val="007B3A7A"/>
    <w:rsid w:val="007C357E"/>
    <w:rsid w:val="007D17F2"/>
    <w:rsid w:val="007D21D4"/>
    <w:rsid w:val="007E660E"/>
    <w:rsid w:val="007F750C"/>
    <w:rsid w:val="00801C25"/>
    <w:rsid w:val="00815CFD"/>
    <w:rsid w:val="00821181"/>
    <w:rsid w:val="008225B5"/>
    <w:rsid w:val="00827557"/>
    <w:rsid w:val="00853D56"/>
    <w:rsid w:val="00885983"/>
    <w:rsid w:val="008A7E3E"/>
    <w:rsid w:val="008D620F"/>
    <w:rsid w:val="00904493"/>
    <w:rsid w:val="00906B38"/>
    <w:rsid w:val="009151F1"/>
    <w:rsid w:val="00932E66"/>
    <w:rsid w:val="00934FCF"/>
    <w:rsid w:val="00967529"/>
    <w:rsid w:val="00975A63"/>
    <w:rsid w:val="00976620"/>
    <w:rsid w:val="0097754B"/>
    <w:rsid w:val="00993E1C"/>
    <w:rsid w:val="009961D9"/>
    <w:rsid w:val="009A7B6B"/>
    <w:rsid w:val="009B5E0D"/>
    <w:rsid w:val="009C2036"/>
    <w:rsid w:val="009E2CF3"/>
    <w:rsid w:val="00A15428"/>
    <w:rsid w:val="00A252D7"/>
    <w:rsid w:val="00AA12D9"/>
    <w:rsid w:val="00AA738C"/>
    <w:rsid w:val="00AA7723"/>
    <w:rsid w:val="00AD264E"/>
    <w:rsid w:val="00B138A6"/>
    <w:rsid w:val="00B33674"/>
    <w:rsid w:val="00B524F9"/>
    <w:rsid w:val="00B5284B"/>
    <w:rsid w:val="00B537D9"/>
    <w:rsid w:val="00B560CC"/>
    <w:rsid w:val="00B617CA"/>
    <w:rsid w:val="00B61BE9"/>
    <w:rsid w:val="00B8618C"/>
    <w:rsid w:val="00BB7690"/>
    <w:rsid w:val="00BC0727"/>
    <w:rsid w:val="00BD1558"/>
    <w:rsid w:val="00BF0337"/>
    <w:rsid w:val="00BF432B"/>
    <w:rsid w:val="00BF516C"/>
    <w:rsid w:val="00BF555A"/>
    <w:rsid w:val="00C22AE6"/>
    <w:rsid w:val="00C41462"/>
    <w:rsid w:val="00C520B7"/>
    <w:rsid w:val="00C77EE3"/>
    <w:rsid w:val="00C83DCB"/>
    <w:rsid w:val="00CA0B9E"/>
    <w:rsid w:val="00CB53A7"/>
    <w:rsid w:val="00CE5D22"/>
    <w:rsid w:val="00CF5C46"/>
    <w:rsid w:val="00D2331A"/>
    <w:rsid w:val="00D369A1"/>
    <w:rsid w:val="00DA5D25"/>
    <w:rsid w:val="00DB141C"/>
    <w:rsid w:val="00DC3BFC"/>
    <w:rsid w:val="00DD4AFC"/>
    <w:rsid w:val="00DD59ED"/>
    <w:rsid w:val="00DE243F"/>
    <w:rsid w:val="00DE2B12"/>
    <w:rsid w:val="00DE552A"/>
    <w:rsid w:val="00E04B00"/>
    <w:rsid w:val="00E0538C"/>
    <w:rsid w:val="00E062CF"/>
    <w:rsid w:val="00E21BE2"/>
    <w:rsid w:val="00E4785A"/>
    <w:rsid w:val="00E75850"/>
    <w:rsid w:val="00E817FC"/>
    <w:rsid w:val="00EA31FB"/>
    <w:rsid w:val="00EA7167"/>
    <w:rsid w:val="00EB62E4"/>
    <w:rsid w:val="00EC3860"/>
    <w:rsid w:val="00EE0745"/>
    <w:rsid w:val="00F03D72"/>
    <w:rsid w:val="00F05828"/>
    <w:rsid w:val="00F26231"/>
    <w:rsid w:val="00F33421"/>
    <w:rsid w:val="00F4097D"/>
    <w:rsid w:val="00F40F87"/>
    <w:rsid w:val="00F43719"/>
    <w:rsid w:val="00F60067"/>
    <w:rsid w:val="00F66A22"/>
    <w:rsid w:val="00F72381"/>
    <w:rsid w:val="00FA2E1E"/>
    <w:rsid w:val="00FB4CA7"/>
    <w:rsid w:val="00FB7488"/>
    <w:rsid w:val="00FC141E"/>
    <w:rsid w:val="00FD6F0B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819C"/>
  <w15:chartTrackingRefBased/>
  <w15:docId w15:val="{DF07BD1C-9F27-44BE-98BE-9166B08F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A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F4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Mazurkov</dc:creator>
  <cp:keywords/>
  <dc:description/>
  <cp:lastModifiedBy>Tatiana</cp:lastModifiedBy>
  <cp:revision>6</cp:revision>
  <dcterms:created xsi:type="dcterms:W3CDTF">2020-07-28T03:35:00Z</dcterms:created>
  <dcterms:modified xsi:type="dcterms:W3CDTF">2020-09-11T01:44:00Z</dcterms:modified>
</cp:coreProperties>
</file>