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C5EE433" w14:textId="756D7EBA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>Вестник Московского университета</w:t>
      </w:r>
    </w:p>
    <w:p w14:paraId="4F654913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Серия 11 Право </w:t>
      </w:r>
    </w:p>
    <w:p w14:paraId="7BB141DA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b/>
          <w:sz w:val="24"/>
          <w:szCs w:val="24"/>
          <w:lang w:val="ru-RU"/>
        </w:rPr>
        <w:t xml:space="preserve">Научный журнал </w:t>
      </w:r>
    </w:p>
    <w:p w14:paraId="5A38543C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Основан в ноябре 1946 г.</w:t>
      </w:r>
    </w:p>
    <w:p w14:paraId="3E046E5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4097D">
        <w:rPr>
          <w:rFonts w:ascii="Times New Roman" w:hAnsi="Times New Roman" w:cs="Times New Roman"/>
          <w:sz w:val="24"/>
          <w:szCs w:val="24"/>
          <w:lang w:val="ru-RU"/>
        </w:rPr>
        <w:t>Издательство Московского университета</w:t>
      </w:r>
    </w:p>
    <w:p w14:paraId="4B0AED8E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D483F84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F4097D">
        <w:rPr>
          <w:rFonts w:ascii="Times New Roman" w:hAnsi="Times New Roman" w:cs="Times New Roman"/>
          <w:sz w:val="24"/>
          <w:szCs w:val="24"/>
          <w:lang w:val="ru-RU"/>
        </w:rPr>
        <w:t>Выходит</w:t>
      </w:r>
      <w:proofErr w:type="gramEnd"/>
      <w:r w:rsidRPr="00F4097D">
        <w:rPr>
          <w:rFonts w:ascii="Times New Roman" w:hAnsi="Times New Roman" w:cs="Times New Roman"/>
          <w:sz w:val="24"/>
          <w:szCs w:val="24"/>
          <w:lang w:val="ru-RU"/>
        </w:rPr>
        <w:t xml:space="preserve"> один раз в два месяца</w:t>
      </w:r>
    </w:p>
    <w:p w14:paraId="57B9B079" w14:textId="77777777" w:rsidR="00F4097D" w:rsidRPr="00F4097D" w:rsidRDefault="00F4097D" w:rsidP="00CF5C4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9B4062D" w14:textId="7FDB35A7" w:rsidR="005379FA" w:rsidRDefault="009B5E0D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F72381">
        <w:rPr>
          <w:rFonts w:ascii="Times New Roman" w:hAnsi="Times New Roman" w:cs="Times New Roman"/>
          <w:b/>
          <w:sz w:val="24"/>
          <w:szCs w:val="24"/>
        </w:rPr>
        <w:t>4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201</w:t>
      </w:r>
      <w:r w:rsidR="005B2726">
        <w:rPr>
          <w:rFonts w:ascii="Times New Roman" w:hAnsi="Times New Roman" w:cs="Times New Roman"/>
          <w:b/>
          <w:sz w:val="24"/>
          <w:szCs w:val="24"/>
          <w:lang w:val="ru-RU"/>
        </w:rPr>
        <w:t>9</w:t>
      </w:r>
      <w:r w:rsidRPr="009B5E0D">
        <w:rPr>
          <w:rFonts w:ascii="Times New Roman" w:hAnsi="Times New Roman" w:cs="Times New Roman"/>
          <w:b/>
          <w:sz w:val="24"/>
          <w:szCs w:val="24"/>
          <w:lang w:val="ru-RU"/>
        </w:rPr>
        <w:t xml:space="preserve"> • </w:t>
      </w:r>
      <w:r w:rsidR="00BF432B">
        <w:rPr>
          <w:rFonts w:ascii="Times New Roman" w:hAnsi="Times New Roman" w:cs="Times New Roman"/>
          <w:b/>
          <w:sz w:val="24"/>
          <w:szCs w:val="24"/>
          <w:lang w:val="ru-RU"/>
        </w:rPr>
        <w:t>ию</w:t>
      </w:r>
      <w:r w:rsidR="00F72381">
        <w:rPr>
          <w:rFonts w:ascii="Times New Roman" w:hAnsi="Times New Roman" w:cs="Times New Roman"/>
          <w:b/>
          <w:sz w:val="24"/>
          <w:szCs w:val="24"/>
          <w:lang w:val="ru-RU"/>
        </w:rPr>
        <w:t>л</w:t>
      </w:r>
      <w:r w:rsidR="00BF432B">
        <w:rPr>
          <w:rFonts w:ascii="Times New Roman" w:hAnsi="Times New Roman" w:cs="Times New Roman"/>
          <w:b/>
          <w:sz w:val="24"/>
          <w:szCs w:val="24"/>
          <w:lang w:val="ru-RU"/>
        </w:rPr>
        <w:t>ь</w:t>
      </w:r>
      <w:r w:rsidR="00F72381">
        <w:rPr>
          <w:rFonts w:ascii="Times New Roman" w:hAnsi="Times New Roman" w:cs="Times New Roman"/>
          <w:b/>
          <w:sz w:val="24"/>
          <w:szCs w:val="24"/>
          <w:lang w:val="ru-RU"/>
        </w:rPr>
        <w:t>–август</w:t>
      </w:r>
    </w:p>
    <w:p w14:paraId="34303A95" w14:textId="39443614" w:rsidR="00F72381" w:rsidRDefault="00F72381" w:rsidP="005379F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6DA4376" w14:textId="77777777" w:rsidR="00F72381" w:rsidRPr="00AA738C" w:rsidRDefault="00F72381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Hlk18341969"/>
      <w:r w:rsidRPr="00AA738C">
        <w:rPr>
          <w:rFonts w:ascii="Times New Roman" w:hAnsi="Times New Roman" w:cs="Times New Roman"/>
          <w:sz w:val="24"/>
          <w:szCs w:val="24"/>
          <w:lang w:val="ru-RU"/>
        </w:rPr>
        <w:t>Вопросы уголовного права и процесса</w:t>
      </w:r>
      <w:bookmarkEnd w:id="0"/>
    </w:p>
    <w:p w14:paraId="361119A1" w14:textId="0068A4C9" w:rsidR="002F1B6B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Н.Е.</w:t>
      </w: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72381"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Крылова</w:t>
      </w: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72381"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доктор юридических наук, доцент, профессор кафедры</w:t>
      </w:r>
      <w:r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уголовного права и криминологии юридического факультета МГУ </w:t>
      </w:r>
      <w:r w:rsidR="002F1B6B" w:rsidRPr="00AA738C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1</w:t>
      </w:r>
    </w:p>
    <w:p w14:paraId="612007C2" w14:textId="154612A0" w:rsidR="00F72381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Д.Д. </w:t>
      </w:r>
      <w:r w:rsidR="00F72381"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Харламов</w:t>
      </w: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72381"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кандидат юридических наук, младший научный сотрудник юридического факультета МГУ </w:t>
      </w:r>
      <w:r w:rsidR="002F1B6B" w:rsidRPr="00AA738C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2</w:t>
      </w:r>
    </w:p>
    <w:p w14:paraId="45B80906" w14:textId="77777777" w:rsidR="00AA738C" w:rsidRPr="00AA738C" w:rsidRDefault="00AA738C" w:rsidP="00AA73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1E5ACE07" w14:textId="3C4532BB" w:rsidR="00F72381" w:rsidRPr="00AA738C" w:rsidRDefault="00F72381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Пределы действия межотраслевой </w:t>
      </w:r>
      <w:proofErr w:type="spellStart"/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преюдиции</w:t>
      </w:r>
      <w:proofErr w:type="spellEnd"/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при квалификации преступлений в России и Германии</w:t>
      </w:r>
    </w:p>
    <w:p w14:paraId="1AE5F775" w14:textId="7D5EB37D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посвящена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проблемам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оценки пределов действия межотраслевой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преюдиции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при квалификации преступлений в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России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Германии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 Авторы анализируют правовые позиции Конституционного Суда Российской Федерации по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данному вопросу и приходят к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выводу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что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из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-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существенного различия в целях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 задачах уголовного и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гражданского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процессов межотраслевая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преюдиция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при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квалификации преступлений имеет опровержимый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характер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4C85446D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2E13498" w14:textId="003C0699" w:rsidR="002F1B6B" w:rsidRPr="00EB62E4" w:rsidRDefault="002F1B6B" w:rsidP="00E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уголовное право, уголовный процесс, Уголовный кодекс РФ, Уголовно-процессуальный кодекс РФ, квалификация преступлений, межотраслевая </w:t>
      </w:r>
      <w:proofErr w:type="spellStart"/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преюдиция</w:t>
      </w:r>
      <w:proofErr w:type="spellEnd"/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, Конституционный Суд РФ, право Герма</w:t>
      </w:r>
      <w:r w:rsidRPr="00EB62E4">
        <w:rPr>
          <w:rFonts w:ascii="Times New Roman" w:eastAsia="Newton-Regular" w:hAnsi="Times New Roman" w:cs="Times New Roman"/>
          <w:sz w:val="24"/>
          <w:szCs w:val="24"/>
          <w:lang w:val="ru-RU"/>
        </w:rPr>
        <w:t>нии.</w:t>
      </w:r>
    </w:p>
    <w:p w14:paraId="3872BB46" w14:textId="77777777" w:rsidR="00EB62E4" w:rsidRDefault="00EB62E4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20E55A46" w14:textId="19D5C1A6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is devoted to the problems of assessing the limits of action of intersectoral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prejudice in qualifying crimes in Russia and Germany. The authors analyze the legal positions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of the Constitutional Court of the Russian Federation on this issue and </w:t>
      </w:r>
      <w:proofErr w:type="gram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come to the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conclusion</w:t>
      </w:r>
      <w:proofErr w:type="gram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that, due to the substantial difference in the goals and objectives of criminal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and civil processes, intersectoral prejudice in qualifying crimes must be refutable.</w:t>
      </w:r>
    </w:p>
    <w:p w14:paraId="00FA89A9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3621CB8C" w14:textId="1A936099" w:rsidR="002F1B6B" w:rsidRPr="00EB62E4" w:rsidRDefault="002F1B6B" w:rsidP="00E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criminal law, criminal procedure, Criminal Code of the Russian</w:t>
      </w:r>
      <w:r w:rsidR="00EB62E4" w:rsidRPr="00EB62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 xml:space="preserve">Federation, Criminal </w:t>
      </w:r>
      <w:r w:rsidRPr="00AA738C">
        <w:rPr>
          <w:rFonts w:ascii="Times New Roman" w:eastAsia="Newton-Italic" w:hAnsi="Times New Roman" w:cs="Times New Roman"/>
          <w:sz w:val="24"/>
          <w:szCs w:val="24"/>
        </w:rPr>
        <w:t xml:space="preserve">Procedure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Code of the Russian Federation, qualification of</w:t>
      </w:r>
      <w:r w:rsidR="00EB62E4" w:rsidRPr="00EB62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crimes, inter-sectoral prejudice, Constitutional Court of the Russian Federation,</w:t>
      </w:r>
      <w:r w:rsidR="00EB62E4" w:rsidRPr="00EB62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German</w:t>
      </w:r>
      <w:r w:rsidRPr="00EB62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law</w:t>
      </w:r>
      <w:r w:rsidRPr="00EB62E4">
        <w:rPr>
          <w:rFonts w:ascii="Times New Roman" w:eastAsia="Newton-Regular" w:hAnsi="Times New Roman" w:cs="Times New Roman"/>
          <w:sz w:val="24"/>
          <w:szCs w:val="24"/>
        </w:rPr>
        <w:t>.</w:t>
      </w:r>
    </w:p>
    <w:p w14:paraId="107C4016" w14:textId="77777777" w:rsidR="00EB62E4" w:rsidRDefault="00EB62E4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217E67AA" w14:textId="22ED9BBC" w:rsidR="00F72381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Н.Н.</w:t>
      </w: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proofErr w:type="spellStart"/>
      <w:r w:rsidR="00F72381"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Белокобыльский</w:t>
      </w:r>
      <w:proofErr w:type="spellEnd"/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72381"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кандидат юридических наук, доцент кафедры</w:t>
      </w:r>
      <w:r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уголовного права и криминологии юридического факультета МГУ </w:t>
      </w:r>
      <w:r w:rsidR="002F1B6B" w:rsidRPr="00AA738C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12</w:t>
      </w:r>
    </w:p>
    <w:p w14:paraId="6EE23EC0" w14:textId="77777777" w:rsidR="00AA738C" w:rsidRDefault="00AA738C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C9E92F3" w14:textId="24E7E253" w:rsidR="00F72381" w:rsidRPr="00AA738C" w:rsidRDefault="00F72381" w:rsidP="00AA73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>Совершенствование законодательства о транспортных преступлениях: проблемы и решения</w:t>
      </w:r>
    </w:p>
    <w:p w14:paraId="5798D58B" w14:textId="61B12D25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 xml:space="preserve">В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рассматриваются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тенденции совершенствования уголовного законодательства, предусматривающего ответственность за транспортные и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смежные с ними преступления.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Отмечается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явно выраженная динамика, которая отрицательно сказывается на стабильности законодательства, а также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порождает проблемы квалификации и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правоприменительной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практики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Предлагаются подходы и решения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указанных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проблем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целях снижения отмеченной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динамики с учетом возможностей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юридической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техники и принципов кодификации законодательства.</w:t>
      </w:r>
    </w:p>
    <w:p w14:paraId="033601B9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D1F6B46" w14:textId="0083C198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уголовное законодательство, тенденции, кодификация,</w:t>
      </w:r>
      <w:r w:rsidR="00EB62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юридическая техника, транспорт, квалификация, </w:t>
      </w:r>
      <w:proofErr w:type="spellStart"/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проблемы</w:t>
      </w:r>
      <w:proofErr w:type="spellEnd"/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решения</w:t>
      </w:r>
      <w:proofErr w:type="spellEnd"/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.</w:t>
      </w:r>
    </w:p>
    <w:p w14:paraId="1C2A4E71" w14:textId="77777777" w:rsidR="00AA738C" w:rsidRPr="00EB62E4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42DBED69" w14:textId="4517145F" w:rsidR="002F1B6B" w:rsidRPr="00AA738C" w:rsidRDefault="002F1B6B" w:rsidP="00E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discusses trends in the improvement of criminal legislation, providing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for responsibility for transport and related crimes. It noted a </w:t>
      </w:r>
      <w:proofErr w:type="gram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pronounced dynamics</w:t>
      </w:r>
      <w:proofErr w:type="gram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,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which adversely affects the stability of the legislation, and also gives rise to problems of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qualification and law enforcement. Approaches and solutions to these problems are proposed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in order to reduce the marked dynamics, given the potential legal techniques and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principles of the codification of legislation.</w:t>
      </w:r>
    </w:p>
    <w:p w14:paraId="2E379EF2" w14:textId="77777777" w:rsidR="00EB62E4" w:rsidRDefault="00EB62E4" w:rsidP="00E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1FE5DD77" w14:textId="21755B2D" w:rsidR="002F1B6B" w:rsidRPr="00EB62E4" w:rsidRDefault="002F1B6B" w:rsidP="00E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criminal law, trends, codification, legal technique, transport, qualification,</w:t>
      </w:r>
      <w:r w:rsidR="00EB62E4" w:rsidRPr="00EB62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problems</w:t>
      </w:r>
      <w:r w:rsidRPr="00EB62E4">
        <w:rPr>
          <w:rFonts w:ascii="Times New Roman" w:eastAsia="Newton-Regular" w:hAnsi="Times New Roman" w:cs="Times New Roman"/>
          <w:sz w:val="24"/>
          <w:szCs w:val="24"/>
        </w:rPr>
        <w:t xml:space="preserve">,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solutions</w:t>
      </w:r>
      <w:r w:rsidRPr="00EB62E4">
        <w:rPr>
          <w:rFonts w:ascii="Times New Roman" w:eastAsia="Newton-Regular" w:hAnsi="Times New Roman" w:cs="Times New Roman"/>
          <w:sz w:val="24"/>
          <w:szCs w:val="24"/>
        </w:rPr>
        <w:t>.</w:t>
      </w:r>
    </w:p>
    <w:p w14:paraId="66FE94B8" w14:textId="77777777" w:rsidR="00EB62E4" w:rsidRPr="00EB62E4" w:rsidRDefault="00EB62E4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759071C" w14:textId="4F9A215C" w:rsidR="00F72381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П.С. </w:t>
      </w:r>
      <w:proofErr w:type="spellStart"/>
      <w:r w:rsidR="00F72381"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Абдуллоев</w:t>
      </w:r>
      <w:proofErr w:type="spellEnd"/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72381"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кандидат юридических наук, доцент кафедры правосудия и прокурорского надзора, </w:t>
      </w:r>
      <w:proofErr w:type="spellStart"/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заместитель</w:t>
      </w:r>
      <w:proofErr w:type="spellEnd"/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proofErr w:type="spellStart"/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декана</w:t>
      </w:r>
      <w:proofErr w:type="spellEnd"/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по науке и международным отношениям юридического факультета Таджикского национального университета</w:t>
      </w:r>
      <w:r w:rsidR="002F1B6B" w:rsidRPr="00AA738C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15</w:t>
      </w:r>
    </w:p>
    <w:p w14:paraId="377519B1" w14:textId="77777777" w:rsidR="00AA738C" w:rsidRDefault="00AA738C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7834CB" w14:textId="0147B847" w:rsidR="00F72381" w:rsidRPr="00AA738C" w:rsidRDefault="00F72381" w:rsidP="00AA73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Передача лиц, страдающих психическими расстройствами, для проведения принудительного лечения </w:t>
      </w:r>
      <w:r w:rsidRPr="00AA738C">
        <w:rPr>
          <w:rFonts w:ascii="Times New Roman" w:hAnsi="Times New Roman" w:cs="Times New Roman"/>
          <w:i/>
          <w:iCs/>
          <w:sz w:val="24"/>
          <w:szCs w:val="24"/>
          <w:lang w:val="ru-RU"/>
        </w:rPr>
        <w:t>(на примере постсоветских стран)</w:t>
      </w:r>
    </w:p>
    <w:p w14:paraId="4555FC9F" w14:textId="5FD6F65A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рассматриваются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актуальные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правовые вопросы, связанные с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передачей лиц, страдающих психическими расстройствами, для проведения принудительного лечения, анализируются действующие правовые нормы постсоветских стран по данному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вопросу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, в частности нормы международных договоров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 нормы УПК.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Отмечается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что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передача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лиц, страдающих психическими расстройствами, для проведения принудительного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лечения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является одним из новых направлений международного сотрудничества в сфере уголовного процесса.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постсоветских странах имеются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проблемы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как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сфере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регламентации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данных</w:t>
      </w:r>
      <w:proofErr w:type="spellEnd"/>
    </w:p>
    <w:p w14:paraId="3D3A5755" w14:textId="63FEE26B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вопросов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национальном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законодательстве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так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в области правоприменения.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 основе сравнительно-правового анализа законодательства постсоветских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стран и научной доктрины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данному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вопросу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дается понятие передачи лиц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страдающих психическими расстройствами.</w:t>
      </w:r>
    </w:p>
    <w:p w14:paraId="73008600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D04794E" w14:textId="7529407C" w:rsidR="002F1B6B" w:rsidRPr="00EB62E4" w:rsidRDefault="002F1B6B" w:rsidP="00E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передача лица, содержащегося под стражей, гарантии</w:t>
      </w:r>
      <w:r w:rsidR="00EB62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и иммунитеты, международное сотрудничество, международные договоры,</w:t>
      </w:r>
      <w:r w:rsidR="00EB62E4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уголовное процессуальное законодательство, постсоветские страны, уголов</w:t>
      </w:r>
      <w:r w:rsidRPr="00EB62E4">
        <w:rPr>
          <w:rFonts w:ascii="Times New Roman" w:eastAsia="Newton-Regular" w:hAnsi="Times New Roman" w:cs="Times New Roman"/>
          <w:sz w:val="24"/>
          <w:szCs w:val="24"/>
          <w:lang w:val="ru-RU"/>
        </w:rPr>
        <w:t>ное дело.</w:t>
      </w:r>
    </w:p>
    <w:p w14:paraId="0DDAEEBF" w14:textId="77777777" w:rsidR="00EB62E4" w:rsidRPr="00EB62E4" w:rsidRDefault="00EB62E4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610A42E1" w14:textId="39C32122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discusses current legal issues related to transfer of persons suffering from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mental disorders for compulsory treatment, analyzes current legal norms of post-Soviet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countries on this issue, </w:t>
      </w:r>
      <w:proofErr w:type="gram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in particular norms</w:t>
      </w:r>
      <w:proofErr w:type="gram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of international treaties and norms of the CPC.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It is noted that transfer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lastRenderedPageBreak/>
        <w:t>of persons suffering from mental disorders to conduct compulsory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treatment is one of the new areas of international cooperation in the field of criminal procedure.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In post-Soviet countries, there are many problems — from regulation of these issues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in national legislation to the implementation of standards in this direction. </w:t>
      </w:r>
      <w:proofErr w:type="gram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On the basis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of</w:t>
      </w:r>
      <w:proofErr w:type="gram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comparative legal analysis of legislation in post-Soviet space and scientific doctrine</w:t>
      </w:r>
      <w:r w:rsidR="00EB62E4" w:rsidRPr="00EB62E4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on this issue, the concept of transfer of persons suffering from mental disorders is given.</w:t>
      </w:r>
    </w:p>
    <w:p w14:paraId="0347A81C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144601C4" w14:textId="7BF74D65" w:rsidR="002F1B6B" w:rsidRPr="00EB62E4" w:rsidRDefault="002F1B6B" w:rsidP="00EB62E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transfer of a person being arrested, guarantees and immunity, international</w:t>
      </w:r>
      <w:r w:rsidR="00EB62E4" w:rsidRPr="00EB62E4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cooperation, international treaties, criminal procedural legislation, post-Soviet countries, criminal case.</w:t>
      </w:r>
    </w:p>
    <w:p w14:paraId="7F04ABA0" w14:textId="77777777" w:rsidR="00EB62E4" w:rsidRDefault="00EB62E4" w:rsidP="00AA738C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8344719"/>
    </w:p>
    <w:p w14:paraId="408E1248" w14:textId="5961263C" w:rsidR="00F72381" w:rsidRPr="00AA738C" w:rsidRDefault="00F72381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sz w:val="24"/>
          <w:szCs w:val="24"/>
          <w:lang w:val="ru-RU"/>
        </w:rPr>
        <w:t>Проблемы конституционного и муниципального права</w:t>
      </w:r>
      <w:bookmarkEnd w:id="1"/>
    </w:p>
    <w:p w14:paraId="1F6D268D" w14:textId="5129BF21" w:rsidR="00F72381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Д.Г. </w:t>
      </w:r>
      <w:r w:rsidR="00F72381"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Шустров</w:t>
      </w:r>
      <w:r w:rsidRPr="00EB62E4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72381" w:rsidRPr="00AA7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кандидат юридических наук, доцент кафедры конституционного и муниципального права </w:t>
      </w:r>
      <w:proofErr w:type="spellStart"/>
      <w:r w:rsidR="002F1B6B"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юридического</w:t>
      </w:r>
      <w:proofErr w:type="spellEnd"/>
      <w:r w:rsidR="002F1B6B"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="002F1B6B"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факультета</w:t>
      </w:r>
      <w:proofErr w:type="spellEnd"/>
      <w:r w:rsidR="002F1B6B"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МГУ </w:t>
      </w:r>
    </w:p>
    <w:p w14:paraId="2013DDC3" w14:textId="77777777" w:rsidR="00AA738C" w:rsidRDefault="00AA738C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25603963" w14:textId="499624F0" w:rsidR="00F72381" w:rsidRPr="00AA738C" w:rsidRDefault="00F72381" w:rsidP="00AA73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>Конституционный Суд РФ и конституционный контроль за реформированием Конституции РФ</w:t>
      </w:r>
    </w:p>
    <w:p w14:paraId="1AD90E83" w14:textId="2A7A50AB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Конституционный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Суд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РФ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наделен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специальными полномочиями по конституционному контролю за реформированием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Конституции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РФ, однако в своей практике он выразил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ряд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позиций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 принципиальной невозможности осуществления такого контроля в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одних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случаях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а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также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возможности и пределах его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осуществления в других. В статье анализируется практика Конституционного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Суда, а также высказываются предложения по наделению Конституционного</w:t>
      </w:r>
      <w:r w:rsidR="00EB62E4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Суда данным полномочием.</w:t>
      </w:r>
    </w:p>
    <w:p w14:paraId="70146AF9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3919ABB5" w14:textId="55E6B366" w:rsidR="002F1B6B" w:rsidRPr="00410E59" w:rsidRDefault="002F1B6B" w:rsidP="004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конституция, конституционный суд, конституционный</w:t>
      </w:r>
      <w:r w:rsidR="00410E59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контроль за изменением конституции, поправки к конституции, конститу</w:t>
      </w:r>
      <w:r w:rsidRPr="00410E59">
        <w:rPr>
          <w:rFonts w:ascii="Times New Roman" w:eastAsia="Newton-Regular" w:hAnsi="Times New Roman" w:cs="Times New Roman"/>
          <w:sz w:val="24"/>
          <w:szCs w:val="24"/>
          <w:lang w:val="ru-RU"/>
        </w:rPr>
        <w:t>ционная идентичность.</w:t>
      </w:r>
    </w:p>
    <w:p w14:paraId="734CC165" w14:textId="77777777" w:rsidR="00410E59" w:rsidRDefault="00410E59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0E80198A" w14:textId="0E7D2DA5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Constitutional Court of the Russian Federation is not endowed with special powers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for judicial review over the reform of the Russian Constitution, but in practice it expressed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a number of positions on the fundamental impossibility of exercising review in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some cases, as well as the possibilities and limits of review in others. The article analyzes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practice of the Constitutional Court and makes suggestions for endowing the Constitutional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Court with this authority.</w:t>
      </w:r>
    </w:p>
    <w:p w14:paraId="1B267FB3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5A8E6DEC" w14:textId="0B17D0E5" w:rsidR="002F1B6B" w:rsidRPr="00410E59" w:rsidRDefault="002F1B6B" w:rsidP="004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constitution, Constitutional Court, judicial review of constitutional</w:t>
      </w:r>
      <w:r w:rsidR="00410E59" w:rsidRPr="00410E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amendments, constitutional amendments, constitutional identity.</w:t>
      </w:r>
    </w:p>
    <w:p w14:paraId="6DCDB00B" w14:textId="77777777" w:rsidR="00410E59" w:rsidRDefault="00410E59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2" w:name="_Hlk18423506"/>
    </w:p>
    <w:p w14:paraId="77864DA6" w14:textId="2BB58575" w:rsidR="00F72381" w:rsidRPr="00AA738C" w:rsidRDefault="00F72381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sz w:val="24"/>
          <w:szCs w:val="24"/>
          <w:lang w:val="ru-RU"/>
        </w:rPr>
        <w:t>Проблемы административного права</w:t>
      </w:r>
      <w:bookmarkEnd w:id="2"/>
    </w:p>
    <w:p w14:paraId="2EB7CDD2" w14:textId="02647ACC" w:rsidR="00F72381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О.Н.</w:t>
      </w: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72381"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Ермолаева</w:t>
      </w: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72381"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кандидат юридических наук, доцент кафедры административного права юридического факультета МГУ </w:t>
      </w:r>
    </w:p>
    <w:p w14:paraId="7962DA6F" w14:textId="77777777" w:rsidR="00AA738C" w:rsidRDefault="00AA738C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5DCC77" w14:textId="63C78C6B" w:rsidR="00F72381" w:rsidRPr="00AA738C" w:rsidRDefault="00F72381" w:rsidP="00AA73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>Административно-правовое регулирование организации системы здравоохранения и оказания медицинских услуг в Российской Федерации</w:t>
      </w:r>
    </w:p>
    <w:p w14:paraId="510F8604" w14:textId="213C4FB9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>Статья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посвящена особенностям административно-правового регулирования организации системы здравоохранения и оказания медицинских услуг в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Российской Федерации.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Автором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анализируются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проблемы и перспективы совершенствования законодательства о здравоохранении с учетом развития правоприменительной деятельности в сфере реализации здравоохранительных правоотношений.</w:t>
      </w:r>
    </w:p>
    <w:p w14:paraId="482A2BB0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13217F28" w14:textId="1E20E943" w:rsidR="002F1B6B" w:rsidRPr="00410E59" w:rsidRDefault="002F1B6B" w:rsidP="004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система здравоохранения, здравоохранительные правоотношения, медицинская помощь, медицинская услуга, административно-правовое регулирование организации системы здравоохранения, регулиро</w:t>
      </w:r>
      <w:r w:rsidRPr="00410E59">
        <w:rPr>
          <w:rFonts w:ascii="Times New Roman" w:eastAsia="Newton-Regular" w:hAnsi="Times New Roman" w:cs="Times New Roman"/>
          <w:sz w:val="24"/>
          <w:szCs w:val="24"/>
          <w:lang w:val="ru-RU"/>
        </w:rPr>
        <w:t>вание оказания медицинских услуг.</w:t>
      </w:r>
    </w:p>
    <w:p w14:paraId="1E6131B4" w14:textId="77777777" w:rsidR="00410E59" w:rsidRDefault="00410E59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0C1C3E3A" w14:textId="6FA169B5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is devoted to the peculiarities of administrative and legal regulation of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organization of the healthcare system and medical services in the Russian Federation.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author analyses the problems and prospects of improvement of legislation on health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care, </w:t>
      </w:r>
      <w:proofErr w:type="gram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taking into account</w:t>
      </w:r>
      <w:proofErr w:type="gram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the development of law enforcement in the field of health legal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relationship.</w:t>
      </w:r>
    </w:p>
    <w:p w14:paraId="2DAF19F4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43F41241" w14:textId="5C23B47B" w:rsidR="002F1B6B" w:rsidRPr="00410E59" w:rsidRDefault="002F1B6B" w:rsidP="004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healthcare system, health relationship, medical services, medical</w:t>
      </w:r>
      <w:r w:rsidR="00410E59" w:rsidRPr="00410E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care, administrative and legal regulation of the organization of the healthcare system,</w:t>
      </w:r>
      <w:r w:rsidR="00410E59" w:rsidRPr="00410E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regulation of medical services.</w:t>
      </w:r>
    </w:p>
    <w:p w14:paraId="1C64C7F9" w14:textId="77777777" w:rsidR="00410E59" w:rsidRDefault="00410E59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779F87B" w14:textId="60CFBBCE" w:rsidR="00F72381" w:rsidRPr="00AA738C" w:rsidRDefault="00F72381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sz w:val="24"/>
          <w:szCs w:val="24"/>
          <w:lang w:val="ru-RU"/>
        </w:rPr>
        <w:t>Вопросы методологии юридической науки</w:t>
      </w:r>
    </w:p>
    <w:p w14:paraId="557CA22A" w14:textId="27893584" w:rsidR="00F72381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И.В.</w:t>
      </w: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F72381"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Галкин</w:t>
      </w: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72381"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кандидат юридических наук, старший преподаватель</w:t>
      </w:r>
      <w:r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кафедры истории государства и права Московского государственного</w:t>
      </w:r>
      <w:r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юридического университета имени О. Е. </w:t>
      </w:r>
      <w:proofErr w:type="spellStart"/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Кутафина</w:t>
      </w:r>
      <w:proofErr w:type="spellEnd"/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(МГЮА) </w:t>
      </w:r>
      <w:r w:rsidR="002F1B6B" w:rsidRPr="00AA738C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28</w:t>
      </w:r>
    </w:p>
    <w:p w14:paraId="2A6F14FB" w14:textId="77777777" w:rsidR="00AA738C" w:rsidRDefault="00AA738C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6D3E34E9" w14:textId="55D6BF20" w:rsidR="00F72381" w:rsidRPr="00AA738C" w:rsidRDefault="00F72381" w:rsidP="00AA73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>Методологические особенности западноевропейской юридической науки в XVII столетии (1600–1700)</w:t>
      </w:r>
    </w:p>
    <w:p w14:paraId="4ADB5EA2" w14:textId="6A83C877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посвящена методологическим особенностям западноевропейской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правовой мысли и юридической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науки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XVII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в. Методологическая матрица юриспруденции обогащается многими методами,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которые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были известны еще со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времени античности, но не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находили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себе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применения в контексте юридической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науки.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Автор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приходит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к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выводу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что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именно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XVII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столетии методологический аппарат современной юриспруденции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вступил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стадию своего активного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формирования, становясь когнитивным фундаментом для нарождавшихся теоретических и отраслевых юридических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дисциплин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33FA210D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2E7A885" w14:textId="12B24891" w:rsidR="002F1B6B" w:rsidRPr="00410E59" w:rsidRDefault="002F1B6B" w:rsidP="004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XVII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век, гражданское общество, сравнительно-правовой метод, исторический метод, логический метод, методология, естественное право, философия права, принцип свободы, принцип справедливости,</w:t>
      </w:r>
      <w:r w:rsidR="00410E59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410E59">
        <w:rPr>
          <w:rFonts w:ascii="Times New Roman" w:eastAsia="Newton-Regular" w:hAnsi="Times New Roman" w:cs="Times New Roman"/>
          <w:sz w:val="24"/>
          <w:szCs w:val="24"/>
          <w:lang w:val="ru-RU"/>
        </w:rPr>
        <w:t>общественный договор, системный подход.</w:t>
      </w:r>
    </w:p>
    <w:p w14:paraId="173C3127" w14:textId="77777777" w:rsidR="00410E59" w:rsidRDefault="00410E59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27CC6BF1" w14:textId="5C9690C1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is devoted to the methodological features of Western European legal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thought and legal science in the XVII century. The methodological matrix of jurisprudence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is enriched by many methods that have been known since </w:t>
      </w:r>
      <w:proofErr w:type="gram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antiquity, but</w:t>
      </w:r>
      <w:proofErr w:type="gram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did not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find application in the context of legal science. The author concludes that it was in the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XVII century that the methodological apparatus of modern jurisprudence entered the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stage of its active formation, becoming a cognitive foundation for the emerging theoretical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and branch legal disciplines.</w:t>
      </w:r>
    </w:p>
    <w:p w14:paraId="36AEAE7A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685068E7" w14:textId="3DC64400" w:rsidR="002F1B6B" w:rsidRPr="00410E59" w:rsidRDefault="002F1B6B" w:rsidP="004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XVII century, civil society, comparative legal method, historical</w:t>
      </w:r>
      <w:r w:rsidR="00410E59" w:rsidRPr="00410E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method, logical method, methodology, natural law, philosophy of law, principle of</w:t>
      </w:r>
      <w:r w:rsidR="00410E59" w:rsidRPr="00410E59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freedom, principle of justice, social contract, systematic approach.</w:t>
      </w:r>
    </w:p>
    <w:p w14:paraId="7174DF3A" w14:textId="77777777" w:rsidR="00410E59" w:rsidRDefault="00410E59" w:rsidP="00AA738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</w:p>
    <w:p w14:paraId="0680D19F" w14:textId="7A2B7D5A" w:rsidR="00F72381" w:rsidRPr="00AA738C" w:rsidRDefault="00F72381" w:rsidP="00AA738C">
      <w:pPr>
        <w:jc w:val="both"/>
        <w:rPr>
          <w:rFonts w:ascii="Times New Roman" w:hAnsi="Times New Roman" w:cs="Times New Roman"/>
          <w:bCs/>
          <w:iCs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Трибуна молодых ученых</w:t>
      </w:r>
    </w:p>
    <w:p w14:paraId="2E27B36C" w14:textId="52F51088" w:rsidR="00F72381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Д.А. </w:t>
      </w:r>
      <w:r w:rsidR="00F72381"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Киреев</w:t>
      </w: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72381" w:rsidRPr="00AA7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>аспирант кафедры конституционного и муниципального</w:t>
      </w:r>
      <w:r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права юридического факультета МГУ </w:t>
      </w:r>
      <w:r w:rsidR="002F1B6B" w:rsidRPr="00AA738C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24</w:t>
      </w:r>
    </w:p>
    <w:p w14:paraId="62D3F0B0" w14:textId="77777777" w:rsidR="00AA738C" w:rsidRDefault="00AA738C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16F687B9" w14:textId="1E88027B" w:rsidR="00F72381" w:rsidRPr="00AA738C" w:rsidRDefault="00F72381" w:rsidP="00AA73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>Искажения пропорциональности в избирательных системах Российской Федерации и Федеративной Республики Германия</w:t>
      </w:r>
    </w:p>
    <w:p w14:paraId="147EDE1E" w14:textId="08C296B1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Статья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посвящена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анализу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последствий применения смешанной связанной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и комбинированной избирательных систем. В ходе изучения практики проведения парламентских выборов в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Федеративной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Республике Германия и Российской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Федерации, а также исследования позиций органов конституционного контроля выявлены искажения пропорциональности, возникающие при распределении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мандатов.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Отношение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к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данным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искажениям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каждой из систем позволяет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отнести немецкую модель к системам пропорционального представительства,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а российский вариант смешанной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системы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— к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мажоритарным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системам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6EAB041B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26CB7026" w14:textId="15C870FC" w:rsidR="002F1B6B" w:rsidRPr="001450AB" w:rsidRDefault="002F1B6B" w:rsidP="0014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смешанная избирательная система, пропорциональная</w:t>
      </w:r>
      <w:r w:rsidR="001450AB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1450AB">
        <w:rPr>
          <w:rFonts w:ascii="Times New Roman" w:eastAsia="Newton-Regular" w:hAnsi="Times New Roman" w:cs="Times New Roman"/>
          <w:sz w:val="24"/>
          <w:szCs w:val="24"/>
          <w:lang w:val="ru-RU"/>
        </w:rPr>
        <w:t>избирательная система, искажения пропорциональности.</w:t>
      </w:r>
    </w:p>
    <w:p w14:paraId="23641195" w14:textId="77777777" w:rsidR="001450AB" w:rsidRDefault="001450A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</w:p>
    <w:p w14:paraId="7A6820D2" w14:textId="4EBC28A7" w:rsidR="002F1B6B" w:rsidRPr="00AA738C" w:rsidRDefault="002F1B6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is devoted to the analysis of consequences of application of the mixed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member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representation and parallel voting. During the study of the practice of parliamentary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elections in the Federal Republic of Germany and the Russian Federation, as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well as the study of the positions of the constitutional review bodies, revealed the distortion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of proportionality arising from the distribution of mandates. The attitude to these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distortions in each of the systems allows us to refer the German model to the systems of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proportional representation, and the Russian version of the mixed system to the majority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systems.</w:t>
      </w:r>
    </w:p>
    <w:p w14:paraId="16A8EE39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49A65447" w14:textId="2AB0D18A" w:rsidR="002F1B6B" w:rsidRPr="001450AB" w:rsidRDefault="002F1B6B" w:rsidP="0014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mixed-member representation, proportional representation, distortion</w:t>
      </w:r>
      <w:r w:rsidR="001450AB" w:rsidRPr="001450A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of</w:t>
      </w:r>
      <w:r w:rsidRPr="001450A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proportionality</w:t>
      </w:r>
      <w:r w:rsidRPr="001450AB">
        <w:rPr>
          <w:rFonts w:ascii="Times New Roman" w:eastAsia="Newton-Regular" w:hAnsi="Times New Roman" w:cs="Times New Roman"/>
          <w:sz w:val="24"/>
          <w:szCs w:val="24"/>
        </w:rPr>
        <w:t>.</w:t>
      </w:r>
    </w:p>
    <w:p w14:paraId="10E37EE3" w14:textId="77777777" w:rsidR="00EB62E4" w:rsidRDefault="00EB62E4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14:paraId="651FF3B9" w14:textId="3518BBA5" w:rsidR="00F72381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А.А. </w:t>
      </w:r>
      <w:r w:rsidR="00F72381"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Егорова</w:t>
      </w:r>
      <w:r w:rsidRPr="00410E59">
        <w:rPr>
          <w:rFonts w:ascii="Times New Roman" w:hAnsi="Times New Roman" w:cs="Times New Roman"/>
          <w:b/>
          <w:bCs/>
          <w:sz w:val="24"/>
          <w:szCs w:val="24"/>
          <w:lang w:val="ru-RU"/>
        </w:rPr>
        <w:t>,</w:t>
      </w:r>
      <w:r w:rsidR="00F72381" w:rsidRPr="00AA738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2F1B6B"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соискатель кафедры предпринимательского права юридического факультета МГУ </w:t>
      </w:r>
    </w:p>
    <w:p w14:paraId="5BE81ADD" w14:textId="77777777" w:rsidR="00AA738C" w:rsidRDefault="00AA738C" w:rsidP="00AA738C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0AC17836" w14:textId="0BB939B9" w:rsidR="00F72381" w:rsidRPr="00AA738C" w:rsidRDefault="00F72381" w:rsidP="00AA738C">
      <w:pPr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A738C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Правовые формы инвестиционной деятельности, осуществляемой с участием субъекта Российской Федерации в промышленности</w:t>
      </w:r>
    </w:p>
    <w:p w14:paraId="377C64CD" w14:textId="2F775084" w:rsidR="00AA738C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настоящей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статье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автор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рассматривает правовые формы инвестиционной деятельности, осуществляемой с участием субъекта Российской Федерации</w:t>
      </w:r>
      <w:r w:rsidR="001450AB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промышленности, относя к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ним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специальные инвестиционные контракты, налоговые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lastRenderedPageBreak/>
        <w:t xml:space="preserve">льготы, бюджетные субсидии и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кредиты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, закрепляемые как в федеральном, так и в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региональном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законодательстве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.</w:t>
      </w:r>
    </w:p>
    <w:p w14:paraId="397E8E3A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7ACA71BD" w14:textId="1AC5C7A1" w:rsidR="00AA738C" w:rsidRPr="001450AB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специальные инвестиционные контракты, инвестиционные проекты, меры государственной поддержки, региональное инвести</w:t>
      </w:r>
      <w:r w:rsidRPr="001450AB">
        <w:rPr>
          <w:rFonts w:ascii="Times New Roman" w:eastAsia="Newton-Regular" w:hAnsi="Times New Roman" w:cs="Times New Roman"/>
          <w:sz w:val="24"/>
          <w:szCs w:val="24"/>
          <w:lang w:val="ru-RU"/>
        </w:rPr>
        <w:t>ционное законодательство, инвестиционный климат.</w:t>
      </w:r>
    </w:p>
    <w:p w14:paraId="289E68BC" w14:textId="77777777" w:rsidR="00AA738C" w:rsidRPr="001450AB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9531E2C" w14:textId="5351850C" w:rsidR="00AA738C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In this article, the author considers the legal forms of investment activities carried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out with the participation of the constituent entities of the Russian Federation in industry,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for which special investment contracts, tax incentives, budget subsidies and loans are</w:t>
      </w:r>
      <w:r w:rsidR="001450AB" w:rsidRPr="001450AB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provided, which are enshrined in both federal and regional legislation.</w:t>
      </w:r>
    </w:p>
    <w:p w14:paraId="7AFFD4AF" w14:textId="77777777" w:rsid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4BFF1B67" w14:textId="72E69E0E" w:rsidR="00AA738C" w:rsidRPr="001450AB" w:rsidRDefault="00AA738C" w:rsidP="001450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special investment contracts, investment project, state support measures,</w:t>
      </w:r>
      <w:r w:rsidR="001450AB" w:rsidRPr="001450AB">
        <w:rPr>
          <w:rFonts w:ascii="Times New Roman" w:eastAsia="Newton-Regular" w:hAnsi="Times New Roman" w:cs="Times New Roman"/>
          <w:sz w:val="24"/>
          <w:szCs w:val="24"/>
        </w:rPr>
        <w:t xml:space="preserve">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regional investment legislation, investment climate.</w:t>
      </w:r>
    </w:p>
    <w:p w14:paraId="098C056D" w14:textId="77777777" w:rsidR="001450AB" w:rsidRDefault="001450A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767EA645" w14:textId="144A82E3" w:rsidR="00F72381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</w:pPr>
      <w:r w:rsidRPr="001450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В.В. </w:t>
      </w:r>
      <w:r w:rsidR="00F72381" w:rsidRPr="001450AB">
        <w:rPr>
          <w:rFonts w:ascii="Times New Roman" w:hAnsi="Times New Roman" w:cs="Times New Roman"/>
          <w:b/>
          <w:bCs/>
          <w:sz w:val="24"/>
          <w:szCs w:val="24"/>
          <w:lang w:val="ru-RU"/>
        </w:rPr>
        <w:t>Павлюков</w:t>
      </w:r>
      <w:r w:rsidRPr="001450A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, </w:t>
      </w:r>
      <w:r w:rsidRPr="00AA738C">
        <w:rPr>
          <w:rFonts w:ascii="Times New Roman" w:eastAsia="Newton-Italic" w:hAnsi="Times New Roman" w:cs="Times New Roman"/>
          <w:i/>
          <w:iCs/>
          <w:color w:val="000000"/>
          <w:sz w:val="24"/>
          <w:szCs w:val="24"/>
          <w:lang w:val="ru-RU"/>
        </w:rPr>
        <w:t xml:space="preserve">соискатель кафедры криминалистики Кубанского государственного аграрного университета имени И.Т. Трубилина </w:t>
      </w:r>
      <w:r w:rsidRPr="00AA738C">
        <w:rPr>
          <w:rFonts w:ascii="Times New Roman" w:eastAsia="Newton-Italic" w:hAnsi="Times New Roman" w:cs="Times New Roman"/>
          <w:i/>
          <w:iCs/>
          <w:color w:val="FFFFFF"/>
          <w:sz w:val="24"/>
          <w:szCs w:val="24"/>
          <w:lang w:val="ru-RU"/>
        </w:rPr>
        <w:t>42</w:t>
      </w:r>
    </w:p>
    <w:p w14:paraId="7DE6EA56" w14:textId="77777777" w:rsidR="001450AB" w:rsidRDefault="001450AB" w:rsidP="00AA7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14:paraId="3B2D6557" w14:textId="6F53D388" w:rsidR="00F72381" w:rsidRPr="001450AB" w:rsidRDefault="00F72381" w:rsidP="00AA73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1450AB">
        <w:rPr>
          <w:rFonts w:ascii="Times New Roman" w:hAnsi="Times New Roman" w:cs="Times New Roman"/>
          <w:b/>
          <w:bCs/>
          <w:sz w:val="24"/>
          <w:szCs w:val="24"/>
          <w:lang w:val="ru-RU"/>
        </w:rPr>
        <w:t>Организационно-правовые основы противодействия кибератакам на инфраструктуру государства</w:t>
      </w:r>
    </w:p>
    <w:p w14:paraId="32DD3F7A" w14:textId="77777777" w:rsidR="001450AB" w:rsidRDefault="001450A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7AE6B44F" w14:textId="027E5095" w:rsidR="00AA738C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В статье рассматривается вопрос законного противодействия кибератакам совершаемым анонимно при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помощи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компьютерных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систем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и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сетей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. Осуществляя обзор примеров совершения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киберпреступлений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в мировой практике и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анализ международно-правового регулирования глобальной информационной сферы, автор обосновывает необходимость закрепления за каждым пользователем</w:t>
      </w:r>
      <w:r w:rsidR="00410E59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уникального идентификатора, при помощи которого станет возможно фиксировать и оперативно получать </w:t>
      </w:r>
      <w:proofErr w:type="spellStart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>данные</w:t>
      </w:r>
      <w:proofErr w:type="spellEnd"/>
      <w:r w:rsidRPr="00AA738C"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  <w:t xml:space="preserve"> о противоправной деятельности в компьютерной сети.</w:t>
      </w:r>
    </w:p>
    <w:p w14:paraId="5BA7F313" w14:textId="77777777" w:rsidR="001450AB" w:rsidRDefault="001450A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</w:pPr>
    </w:p>
    <w:p w14:paraId="6EC7939E" w14:textId="5618DD41" w:rsidR="00AA738C" w:rsidRPr="00410E59" w:rsidRDefault="00AA738C" w:rsidP="00410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Regular" w:hAnsi="Times New Roman" w:cs="Times New Roman"/>
          <w:sz w:val="24"/>
          <w:szCs w:val="24"/>
          <w:lang w:val="ru-RU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  <w:lang w:val="ru-RU"/>
        </w:rPr>
        <w:t xml:space="preserve">Ключевые слова: 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кибер</w:t>
      </w:r>
      <w:r w:rsidR="00410E59">
        <w:rPr>
          <w:rFonts w:ascii="Times New Roman" w:eastAsia="Newton-Regular" w:hAnsi="Times New Roman" w:cs="Times New Roman"/>
          <w:sz w:val="24"/>
          <w:szCs w:val="24"/>
          <w:lang w:val="ru-RU"/>
        </w:rPr>
        <w:t>-</w:t>
      </w:r>
      <w:r w:rsidRPr="00AA738C">
        <w:rPr>
          <w:rFonts w:ascii="Times New Roman" w:eastAsia="Newton-Regular" w:hAnsi="Times New Roman" w:cs="Times New Roman"/>
          <w:sz w:val="24"/>
          <w:szCs w:val="24"/>
          <w:lang w:val="ru-RU"/>
        </w:rPr>
        <w:t>угроза, кибератака, анонимность, шифрование,</w:t>
      </w:r>
      <w:r w:rsidR="00410E59">
        <w:rPr>
          <w:rFonts w:ascii="Times New Roman" w:eastAsia="Newton-Regular" w:hAnsi="Times New Roman" w:cs="Times New Roman"/>
          <w:sz w:val="24"/>
          <w:szCs w:val="24"/>
          <w:lang w:val="ru-RU"/>
        </w:rPr>
        <w:t xml:space="preserve"> </w:t>
      </w:r>
      <w:r w:rsidRPr="00410E59">
        <w:rPr>
          <w:rFonts w:ascii="Times New Roman" w:eastAsia="Newton-Regular" w:hAnsi="Times New Roman" w:cs="Times New Roman"/>
          <w:sz w:val="24"/>
          <w:szCs w:val="24"/>
          <w:lang w:val="ru-RU"/>
        </w:rPr>
        <w:t>идентификация.</w:t>
      </w:r>
    </w:p>
    <w:p w14:paraId="09B85B3B" w14:textId="77777777" w:rsidR="001450AB" w:rsidRPr="00410E59" w:rsidRDefault="001450AB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  <w:lang w:val="ru-RU"/>
        </w:rPr>
      </w:pPr>
    </w:p>
    <w:p w14:paraId="168A0F9D" w14:textId="10F65B4A" w:rsidR="00AA738C" w:rsidRPr="00AA738C" w:rsidRDefault="00AA738C" w:rsidP="00AA738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Newton-Italic" w:hAnsi="Times New Roman" w:cs="Times New Roman"/>
          <w:i/>
          <w:iCs/>
          <w:sz w:val="24"/>
          <w:szCs w:val="24"/>
        </w:rPr>
      </w:pP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The article deals with the issue of legal counteraction to cyberattacks committed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anonymously in computer systems and networks. In reviewing examples of cybercrime in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world practice and analyzing the international legal regulation of the global information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sphere, the author justifies the need to assign a unique identifier to each user, through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which it will be possible to record and promptly receive data on illegal activities in the</w:t>
      </w:r>
      <w:r w:rsidR="00410E59" w:rsidRPr="00410E59">
        <w:rPr>
          <w:rFonts w:ascii="Times New Roman" w:eastAsia="Newton-Italic" w:hAnsi="Times New Roman" w:cs="Times New Roman"/>
          <w:i/>
          <w:iCs/>
          <w:sz w:val="24"/>
          <w:szCs w:val="24"/>
        </w:rPr>
        <w:t xml:space="preserve"> </w:t>
      </w:r>
      <w:r w:rsidRPr="00AA738C">
        <w:rPr>
          <w:rFonts w:ascii="Times New Roman" w:eastAsia="Newton-Italic" w:hAnsi="Times New Roman" w:cs="Times New Roman"/>
          <w:i/>
          <w:iCs/>
          <w:sz w:val="24"/>
          <w:szCs w:val="24"/>
        </w:rPr>
        <w:t>computer network.</w:t>
      </w:r>
    </w:p>
    <w:p w14:paraId="44ACE57E" w14:textId="77777777" w:rsidR="001450AB" w:rsidRDefault="001450AB" w:rsidP="00AA738C">
      <w:pPr>
        <w:spacing w:after="0" w:line="360" w:lineRule="auto"/>
        <w:jc w:val="both"/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</w:pPr>
    </w:p>
    <w:p w14:paraId="79D5561E" w14:textId="00908E3A" w:rsidR="00AA738C" w:rsidRPr="00AA738C" w:rsidRDefault="00AA738C" w:rsidP="00AA7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738C">
        <w:rPr>
          <w:rFonts w:ascii="Times New Roman" w:eastAsia="Newton-BoldItalic" w:hAnsi="Times New Roman" w:cs="Times New Roman"/>
          <w:b/>
          <w:bCs/>
          <w:i/>
          <w:iCs/>
          <w:sz w:val="24"/>
          <w:szCs w:val="24"/>
        </w:rPr>
        <w:t xml:space="preserve">Keywords: </w:t>
      </w:r>
      <w:r w:rsidRPr="00AA738C">
        <w:rPr>
          <w:rFonts w:ascii="Times New Roman" w:eastAsia="Newton-Regular" w:hAnsi="Times New Roman" w:cs="Times New Roman"/>
          <w:sz w:val="24"/>
          <w:szCs w:val="24"/>
        </w:rPr>
        <w:t>cyber-threat, cyber-attack, anonymity, encryption, identification.</w:t>
      </w:r>
    </w:p>
    <w:p w14:paraId="4CAB2EAA" w14:textId="5E2A04F3" w:rsidR="00F72381" w:rsidRPr="00AA738C" w:rsidRDefault="00F72381" w:rsidP="00AA738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0CCC47" w14:textId="77777777" w:rsidR="00F72381" w:rsidRPr="00AA738C" w:rsidRDefault="00F72381" w:rsidP="00AA738C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0366D32" w14:textId="77777777" w:rsidR="00F72381" w:rsidRPr="00AA738C" w:rsidRDefault="00F72381" w:rsidP="0079281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_GoBack"/>
      <w:bookmarkEnd w:id="3"/>
    </w:p>
    <w:sectPr w:rsidR="00F72381" w:rsidRPr="00AA738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Newton-Italic">
    <w:altName w:val="Yu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Newton-BoldItalic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  <w:font w:name="Newton-Regular">
    <w:altName w:val="Yu Gothic"/>
    <w:panose1 w:val="00000000000000000000"/>
    <w:charset w:val="80"/>
    <w:family w:val="roman"/>
    <w:notTrueType/>
    <w:pitch w:val="default"/>
    <w:sig w:usb0="00000201" w:usb1="08070000" w:usb2="00000010" w:usb3="00000000" w:csb0="00020004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97D"/>
    <w:rsid w:val="000012EC"/>
    <w:rsid w:val="00011986"/>
    <w:rsid w:val="00020C44"/>
    <w:rsid w:val="00026E75"/>
    <w:rsid w:val="00040FAA"/>
    <w:rsid w:val="00041D9B"/>
    <w:rsid w:val="0004656D"/>
    <w:rsid w:val="000468D5"/>
    <w:rsid w:val="000575A3"/>
    <w:rsid w:val="00060BC5"/>
    <w:rsid w:val="00094A79"/>
    <w:rsid w:val="000B3344"/>
    <w:rsid w:val="000D7D1A"/>
    <w:rsid w:val="00117044"/>
    <w:rsid w:val="00121AAA"/>
    <w:rsid w:val="00132FA1"/>
    <w:rsid w:val="001450AB"/>
    <w:rsid w:val="001628F7"/>
    <w:rsid w:val="00163605"/>
    <w:rsid w:val="00186181"/>
    <w:rsid w:val="001B351B"/>
    <w:rsid w:val="001C58F5"/>
    <w:rsid w:val="00200B4E"/>
    <w:rsid w:val="0021354D"/>
    <w:rsid w:val="0024680C"/>
    <w:rsid w:val="002554BF"/>
    <w:rsid w:val="002578E0"/>
    <w:rsid w:val="00276CA3"/>
    <w:rsid w:val="002917C7"/>
    <w:rsid w:val="002958C3"/>
    <w:rsid w:val="002972C0"/>
    <w:rsid w:val="002A43EF"/>
    <w:rsid w:val="002C56F1"/>
    <w:rsid w:val="002D15A8"/>
    <w:rsid w:val="002D4A7C"/>
    <w:rsid w:val="002F1B6B"/>
    <w:rsid w:val="0031535D"/>
    <w:rsid w:val="00334CF7"/>
    <w:rsid w:val="0035538D"/>
    <w:rsid w:val="00366892"/>
    <w:rsid w:val="00366C5D"/>
    <w:rsid w:val="003C1349"/>
    <w:rsid w:val="003C1B4C"/>
    <w:rsid w:val="003C485A"/>
    <w:rsid w:val="003D349C"/>
    <w:rsid w:val="003E028C"/>
    <w:rsid w:val="00410E59"/>
    <w:rsid w:val="00412688"/>
    <w:rsid w:val="0041777B"/>
    <w:rsid w:val="00480682"/>
    <w:rsid w:val="00485066"/>
    <w:rsid w:val="004A3297"/>
    <w:rsid w:val="004E0064"/>
    <w:rsid w:val="004E63EA"/>
    <w:rsid w:val="00523270"/>
    <w:rsid w:val="0052501C"/>
    <w:rsid w:val="005379FA"/>
    <w:rsid w:val="00542501"/>
    <w:rsid w:val="00551DFF"/>
    <w:rsid w:val="005734A5"/>
    <w:rsid w:val="0057765B"/>
    <w:rsid w:val="00587AC5"/>
    <w:rsid w:val="005B2726"/>
    <w:rsid w:val="005D07A8"/>
    <w:rsid w:val="005E23C8"/>
    <w:rsid w:val="00602221"/>
    <w:rsid w:val="0060720B"/>
    <w:rsid w:val="0062793D"/>
    <w:rsid w:val="00654853"/>
    <w:rsid w:val="006666B4"/>
    <w:rsid w:val="006B0B3F"/>
    <w:rsid w:val="006B354F"/>
    <w:rsid w:val="00700213"/>
    <w:rsid w:val="00702F94"/>
    <w:rsid w:val="007072EB"/>
    <w:rsid w:val="007102D2"/>
    <w:rsid w:val="00711F8E"/>
    <w:rsid w:val="00792819"/>
    <w:rsid w:val="0079686C"/>
    <w:rsid w:val="007B3A7A"/>
    <w:rsid w:val="007C357E"/>
    <w:rsid w:val="007D17F2"/>
    <w:rsid w:val="007D21D4"/>
    <w:rsid w:val="007E660E"/>
    <w:rsid w:val="007F750C"/>
    <w:rsid w:val="00801C25"/>
    <w:rsid w:val="00815CFD"/>
    <w:rsid w:val="008225B5"/>
    <w:rsid w:val="00827557"/>
    <w:rsid w:val="00853D56"/>
    <w:rsid w:val="00885983"/>
    <w:rsid w:val="008A7E3E"/>
    <w:rsid w:val="008D620F"/>
    <w:rsid w:val="00904493"/>
    <w:rsid w:val="00906B38"/>
    <w:rsid w:val="009151F1"/>
    <w:rsid w:val="00932E66"/>
    <w:rsid w:val="00934FCF"/>
    <w:rsid w:val="00967529"/>
    <w:rsid w:val="00976620"/>
    <w:rsid w:val="00993E1C"/>
    <w:rsid w:val="009A7B6B"/>
    <w:rsid w:val="009B5E0D"/>
    <w:rsid w:val="009E2CF3"/>
    <w:rsid w:val="00A15428"/>
    <w:rsid w:val="00A252D7"/>
    <w:rsid w:val="00AA12D9"/>
    <w:rsid w:val="00AA738C"/>
    <w:rsid w:val="00AA7723"/>
    <w:rsid w:val="00AD264E"/>
    <w:rsid w:val="00B138A6"/>
    <w:rsid w:val="00B33674"/>
    <w:rsid w:val="00B524F9"/>
    <w:rsid w:val="00B5284B"/>
    <w:rsid w:val="00B537D9"/>
    <w:rsid w:val="00B560CC"/>
    <w:rsid w:val="00B61BE9"/>
    <w:rsid w:val="00BB7690"/>
    <w:rsid w:val="00BC0727"/>
    <w:rsid w:val="00BF432B"/>
    <w:rsid w:val="00BF555A"/>
    <w:rsid w:val="00C22AE6"/>
    <w:rsid w:val="00C41462"/>
    <w:rsid w:val="00C520B7"/>
    <w:rsid w:val="00C77EE3"/>
    <w:rsid w:val="00C83DCB"/>
    <w:rsid w:val="00CA0B9E"/>
    <w:rsid w:val="00CB53A7"/>
    <w:rsid w:val="00CE5D22"/>
    <w:rsid w:val="00CF5C46"/>
    <w:rsid w:val="00D369A1"/>
    <w:rsid w:val="00DB141C"/>
    <w:rsid w:val="00DC3BFC"/>
    <w:rsid w:val="00DD4AFC"/>
    <w:rsid w:val="00DD59ED"/>
    <w:rsid w:val="00DE552A"/>
    <w:rsid w:val="00E04B00"/>
    <w:rsid w:val="00E0538C"/>
    <w:rsid w:val="00E062CF"/>
    <w:rsid w:val="00E21BE2"/>
    <w:rsid w:val="00E4785A"/>
    <w:rsid w:val="00E75850"/>
    <w:rsid w:val="00E817FC"/>
    <w:rsid w:val="00EA31FB"/>
    <w:rsid w:val="00EA7167"/>
    <w:rsid w:val="00EB62E4"/>
    <w:rsid w:val="00EC3860"/>
    <w:rsid w:val="00EE0745"/>
    <w:rsid w:val="00F03D72"/>
    <w:rsid w:val="00F05828"/>
    <w:rsid w:val="00F26231"/>
    <w:rsid w:val="00F4097D"/>
    <w:rsid w:val="00F40F87"/>
    <w:rsid w:val="00F43719"/>
    <w:rsid w:val="00F60067"/>
    <w:rsid w:val="00F66A22"/>
    <w:rsid w:val="00F72381"/>
    <w:rsid w:val="00FA2E1E"/>
    <w:rsid w:val="00FB4CA7"/>
    <w:rsid w:val="00FB7488"/>
    <w:rsid w:val="00FD6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F819C"/>
  <w15:chartTrackingRefBased/>
  <w15:docId w15:val="{DF07BD1C-9F27-44BE-98BE-9166B08F4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22A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2A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Spacing">
    <w:name w:val="No Spacing"/>
    <w:uiPriority w:val="1"/>
    <w:qFormat/>
    <w:rsid w:val="00BF432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2950</TotalTime>
  <Pages>1</Pages>
  <Words>2192</Words>
  <Characters>12500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 Mazurkov</dc:creator>
  <cp:keywords/>
  <dc:description/>
  <cp:lastModifiedBy>Tatiana</cp:lastModifiedBy>
  <cp:revision>43</cp:revision>
  <dcterms:created xsi:type="dcterms:W3CDTF">2017-04-21T09:27:00Z</dcterms:created>
  <dcterms:modified xsi:type="dcterms:W3CDTF">2019-09-18T19:16:00Z</dcterms:modified>
</cp:coreProperties>
</file>