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Default="005E23C8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5734A5">
        <w:rPr>
          <w:rFonts w:ascii="Times New Roman" w:hAnsi="Times New Roman" w:cs="Times New Roman"/>
          <w:b/>
          <w:sz w:val="24"/>
          <w:szCs w:val="24"/>
        </w:rPr>
        <w:t>4</w:t>
      </w:r>
      <w:r w:rsidR="00B524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 201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734A5" w:rsidRPr="005734A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5734A5">
        <w:rPr>
          <w:rFonts w:ascii="Times New Roman" w:hAnsi="Times New Roman" w:cs="Times New Roman"/>
          <w:b/>
          <w:sz w:val="24"/>
          <w:szCs w:val="24"/>
          <w:lang w:val="ru-RU"/>
        </w:rPr>
        <w:t>юль</w:t>
      </w:r>
      <w:r w:rsidR="005734A5" w:rsidRPr="005734A5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5734A5">
        <w:rPr>
          <w:rFonts w:ascii="Times New Roman" w:hAnsi="Times New Roman" w:cs="Times New Roman"/>
          <w:b/>
          <w:sz w:val="24"/>
          <w:szCs w:val="24"/>
          <w:lang w:val="ru-RU"/>
        </w:rPr>
        <w:t>Август</w:t>
      </w:r>
    </w:p>
    <w:p w:rsidR="00EA31FB" w:rsidRDefault="00EA31FB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31FB" w:rsidRP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sz w:val="24"/>
          <w:szCs w:val="24"/>
          <w:lang w:val="ru-RU"/>
        </w:rPr>
        <w:t>Проблемы экологического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и земельного права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1FB" w:rsidRP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И.А. Игнатьева,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экологического и земельного права юридического факультета МГУ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Правовой обычай в регулировании</w:t>
      </w: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отношений по природопользованию</w:t>
      </w: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и охране окружающей среды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31FB" w:rsidRPr="00B537D9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Правовой обычай не является распространенным источником права в экологическом праве и законодательстве, как и во всей системе российского права и законодательства. В статье анализируются все немногочисленные прямые указания на данный источник права в регулировании экологических отношений. Часть</w:t>
      </w:r>
      <w:r w:rsidR="00B537D9" w:rsidRPr="00B537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случаев применения обычаев в регулировании деятельности по природопользованию и охране окружающей среды обусловлена наличием санкционирования применения данного источника права в смежных отраслях законодательства.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природопользование, охрана окружающей среды, территории традиционного природопользования, земельные отношения, имущественные отношения, земельное законодательство, правовой обычай.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1FB" w:rsidRPr="00B537D9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7D9">
        <w:rPr>
          <w:rFonts w:ascii="Times New Roman" w:hAnsi="Times New Roman" w:cs="Times New Roman"/>
          <w:i/>
          <w:sz w:val="24"/>
          <w:szCs w:val="24"/>
        </w:rPr>
        <w:t>Legal custom is not an accepted source of law in environmental law and legislation,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as in the whole system of Russian law and legislation. All the few direct indications of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this source of law in the regulation of environmental relations are analyzed in the article.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Part of the cases of application of customs in the regulation of use of natural resources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and environmental protection is due to the availability of authorization of the application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of this source of law in related sectors of legislation.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1FB" w:rsidRP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FB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EA31FB">
        <w:rPr>
          <w:rFonts w:ascii="Times New Roman" w:hAnsi="Times New Roman" w:cs="Times New Roman"/>
          <w:sz w:val="24"/>
          <w:szCs w:val="24"/>
        </w:rPr>
        <w:t xml:space="preserve"> use of natural resources, environmental protection, territories of traditional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FB">
        <w:rPr>
          <w:rFonts w:ascii="Times New Roman" w:hAnsi="Times New Roman" w:cs="Times New Roman"/>
          <w:sz w:val="24"/>
          <w:szCs w:val="24"/>
        </w:rPr>
        <w:t>nature use, land relations, property relations, land legislation, legal custom.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FB" w:rsidRP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sz w:val="24"/>
          <w:szCs w:val="24"/>
          <w:lang w:val="ru-RU"/>
        </w:rPr>
        <w:t>Проблемы административного права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1FB" w:rsidRP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</w:t>
      </w:r>
      <w:proofErr w:type="spellStart"/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Овчарова</w:t>
      </w:r>
      <w:proofErr w:type="spellEnd"/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старший преподаватель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кафедры финансового права юридического факультета МГУ, заместитель директора Института проблем административно-правового регулирования НИУ ВШЭ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</w:t>
      </w:r>
      <w:r w:rsidRPr="00EA31FB">
        <w:rPr>
          <w:rFonts w:ascii="Times New Roman" w:hAnsi="Times New Roman" w:cs="Times New Roman"/>
          <w:b/>
          <w:sz w:val="24"/>
          <w:szCs w:val="24"/>
          <w:lang w:val="ru-RU"/>
        </w:rPr>
        <w:t>истема мер административного принуждения за нарушения налогового законодательства и проблемы их реализации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31FB" w:rsidRPr="00B537D9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классификации мер административного принуждения</w:t>
      </w:r>
      <w:r w:rsidR="00B537D9" w:rsidRPr="00B537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за нарушения налогового законодательства по основаниям и видам. Анализ системы указанных мер строится с учетом их целей и оснований применения, способа обеспечения ими правопорядка и содержания мер. Это позволило автору выявить недостатки как в правовом регулировании, так и в практике применения</w:t>
      </w:r>
      <w:r w:rsidR="00B537D9" w:rsidRPr="00B537D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  <w:lang w:val="ru-RU"/>
        </w:rPr>
        <w:t>данных мер, выработать и предложить способы решения обозначенных проблем.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31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административное принуждение, административная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ответственность, принуждение за нарушение налогового законодательства,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ответственность за нарушения налогового законодательства, административное правонарушение, нарушение налогового законодательства, административные наказания, налоговые санкции, принципы административного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принуждения, принципы административной ответственности, Кодекс РФ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об административных правонарушениях, Налоговый кодекс РФ, налоговый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  <w:lang w:val="ru-RU"/>
        </w:rPr>
        <w:t>комплаенс,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31FB">
        <w:rPr>
          <w:rFonts w:ascii="Times New Roman" w:hAnsi="Times New Roman" w:cs="Times New Roman"/>
          <w:sz w:val="24"/>
          <w:szCs w:val="24"/>
          <w:lang w:val="ru-RU"/>
        </w:rPr>
        <w:t>пресекательные</w:t>
      </w:r>
      <w:proofErr w:type="spellEnd"/>
      <w:r w:rsidRPr="00EA31FB">
        <w:rPr>
          <w:rFonts w:ascii="Times New Roman" w:hAnsi="Times New Roman" w:cs="Times New Roman"/>
          <w:sz w:val="24"/>
          <w:szCs w:val="24"/>
          <w:lang w:val="ru-RU"/>
        </w:rPr>
        <w:t xml:space="preserve"> меры, обеспечительные меры, восстановительные меры, карательные меры.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FB" w:rsidRPr="00B537D9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7D9">
        <w:rPr>
          <w:rFonts w:ascii="Times New Roman" w:hAnsi="Times New Roman" w:cs="Times New Roman"/>
          <w:i/>
          <w:sz w:val="24"/>
          <w:szCs w:val="24"/>
        </w:rPr>
        <w:t>The article is devoted to classifying, by grounds and types, administrative enforcement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measures for violations of tax legislation. The analysis of the system of these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measures is constructed taking account of their purposes and the grounds for applying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them, the method for them to secure the administration of justice, and the content of the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measures in question. This has allowed the author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to identify shortcomings both in the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legal regulation and in the practice of applying administrative enforcement measures for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violations of tax legislation, as well as to devise and propose in the article methods for</w:t>
      </w:r>
      <w:r w:rsidR="00B537D9" w:rsidRPr="00B537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i/>
          <w:sz w:val="24"/>
          <w:szCs w:val="24"/>
        </w:rPr>
        <w:t>solving the above problems.</w:t>
      </w:r>
    </w:p>
    <w:p w:rsidR="00B537D9" w:rsidRDefault="00B537D9" w:rsidP="00EA3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1FB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EA31FB">
        <w:rPr>
          <w:rFonts w:ascii="Times New Roman" w:hAnsi="Times New Roman" w:cs="Times New Roman"/>
          <w:sz w:val="24"/>
          <w:szCs w:val="24"/>
        </w:rPr>
        <w:t>administrative enforcement, administrative liability, enforcement for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a violation of tax legislation, liability for a violation of tax legislation, administrative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offence, violation of tax legislation, administrative punishments, tax sanctions, principles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of administrative enforcement, principles of administrative liability, Code of</w:t>
      </w:r>
      <w:r w:rsidRPr="00EA31FB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Administrative Offences of the Russian Federation, Tax Code of the Russian Federation,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tax compliance, preclusive measures, security measures, restorative measures,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EA31FB">
        <w:rPr>
          <w:rFonts w:ascii="Times New Roman" w:hAnsi="Times New Roman" w:cs="Times New Roman"/>
          <w:sz w:val="24"/>
          <w:szCs w:val="24"/>
        </w:rPr>
        <w:t>punitive measures.</w:t>
      </w:r>
    </w:p>
    <w:p w:rsidR="00EA31FB" w:rsidRDefault="00EA31FB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и муниципального права</w:t>
      </w:r>
    </w:p>
    <w:p w:rsid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А.Н. Рыков, </w:t>
      </w:r>
      <w:r w:rsidRPr="00F66A22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первый заместитель Главы</w:t>
      </w:r>
      <w:r w:rsidRPr="00F66A2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i/>
          <w:sz w:val="24"/>
          <w:szCs w:val="24"/>
          <w:lang w:val="ru-RU"/>
        </w:rPr>
        <w:t>города Сочи</w:t>
      </w:r>
    </w:p>
    <w:p w:rsid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>еобходима ли новая реформа местного самоуправления</w:t>
      </w:r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B524F9" w:rsidRPr="00F66A22" w:rsidRDefault="00B524F9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A22" w:rsidRPr="00B33674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вопрос о целесообразности проведения новой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реформы на уровне местного самоуправления с целью определения местного муниципального и местного государственного уровней публичной власти и управления и разграничения предметов ведения и полномочий между ними.</w:t>
      </w:r>
    </w:p>
    <w:p w:rsidR="00B33674" w:rsidRDefault="00B33674" w:rsidP="00F66A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66A22" w:rsidRPr="00B537D9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Ключевые слова: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местное самоуправление, местная государственная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власть, поселения, территориальный уровень местного самоуправления, местная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публичная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власть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674" w:rsidRDefault="00B33674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A5" w:rsidRPr="00B33674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The question of expediency of carrying out of new reform at the level of local self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>-</w:t>
      </w:r>
      <w:r w:rsidRPr="00B33674">
        <w:rPr>
          <w:rFonts w:ascii="Times New Roman" w:hAnsi="Times New Roman" w:cs="Times New Roman"/>
          <w:i/>
          <w:sz w:val="24"/>
          <w:szCs w:val="24"/>
        </w:rPr>
        <w:t>government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is considered in the article with the purpose of determination of local municipal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and local state levels of public authority and governance and delimitation of functions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and powers between bodies and officials of state power and bodies and officials of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local self-government.</w:t>
      </w:r>
    </w:p>
    <w:p w:rsidR="00B33674" w:rsidRDefault="00B33674" w:rsidP="00F66A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A22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F66A22">
        <w:rPr>
          <w:rFonts w:ascii="Times New Roman" w:hAnsi="Times New Roman" w:cs="Times New Roman"/>
          <w:sz w:val="24"/>
          <w:szCs w:val="24"/>
        </w:rPr>
        <w:t xml:space="preserve"> local self-government, local state governance, settlements, territorial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</w:rPr>
        <w:t>level of local self-government, local public authority.</w:t>
      </w:r>
    </w:p>
    <w:p w:rsidR="005734A5" w:rsidRPr="00F66A22" w:rsidRDefault="005734A5" w:rsidP="00B5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>и процесса</w:t>
      </w:r>
    </w:p>
    <w:p w:rsid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6A22" w:rsidRP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В.Б. </w:t>
      </w:r>
      <w:proofErr w:type="spellStart"/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>Хатуев</w:t>
      </w:r>
      <w:proofErr w:type="spellEnd"/>
      <w:r w:rsidRPr="00F66A22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F66A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уголовного</w:t>
      </w:r>
      <w:r w:rsidRPr="002972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i/>
          <w:sz w:val="24"/>
          <w:szCs w:val="24"/>
          <w:lang w:val="ru-RU"/>
        </w:rPr>
        <w:t>права и криминологии юридического факультета Чеченского государственного университета</w:t>
      </w:r>
    </w:p>
    <w:p w:rsidR="00F66A22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34A5" w:rsidRDefault="00F66A22" w:rsidP="00F6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История становления и развития</w:t>
      </w: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российского уголовного законодательства</w:t>
      </w:r>
      <w:r w:rsidR="002972C0" w:rsidRPr="00297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об ответственности за склонение</w:t>
      </w:r>
      <w:r w:rsidR="002972C0" w:rsidRPr="00297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к самоубийству и содействие ему</w:t>
      </w:r>
    </w:p>
    <w:p w:rsidR="002972C0" w:rsidRDefault="002972C0" w:rsidP="00F6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2C0" w:rsidRPr="00B33674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 данной статье предпринята попытка проследить эволюцию развития в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российском уголовном законодательстве института склонения к самоубийству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и содействия ему с первых дней его формирования и до настоящего времени.</w:t>
      </w:r>
    </w:p>
    <w:p w:rsidR="00B33674" w:rsidRDefault="00B33674" w:rsidP="00297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972C0" w:rsidRPr="00B537D9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2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2972C0">
        <w:rPr>
          <w:rFonts w:ascii="Times New Roman" w:hAnsi="Times New Roman" w:cs="Times New Roman"/>
          <w:sz w:val="24"/>
          <w:szCs w:val="24"/>
          <w:lang w:val="ru-RU"/>
        </w:rPr>
        <w:t>самоубийство, доведение до самоубийства, склонение к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sz w:val="24"/>
          <w:szCs w:val="24"/>
          <w:lang w:val="ru-RU"/>
        </w:rPr>
        <w:t>самоубийству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972C0"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72C0">
        <w:rPr>
          <w:rFonts w:ascii="Times New Roman" w:hAnsi="Times New Roman" w:cs="Times New Roman"/>
          <w:sz w:val="24"/>
          <w:szCs w:val="24"/>
          <w:lang w:val="ru-RU"/>
        </w:rPr>
        <w:t>самоубийству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674" w:rsidRDefault="00B33674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2C0" w:rsidRPr="00B33674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This article attempts to trace the evolution of development in Russian criminal law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of institute of inducement and assistance to suicide in the first days of its formation to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the present day.</w:t>
      </w:r>
    </w:p>
    <w:p w:rsidR="00B33674" w:rsidRDefault="00B33674" w:rsidP="002972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2C0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2972C0">
        <w:rPr>
          <w:rFonts w:ascii="Times New Roman" w:hAnsi="Times New Roman" w:cs="Times New Roman"/>
          <w:sz w:val="24"/>
          <w:szCs w:val="24"/>
        </w:rPr>
        <w:t>suicide, bringing to suicide, inducement to suicide, assistance to suicide.</w:t>
      </w:r>
    </w:p>
    <w:p w:rsid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2C0" w:rsidRP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2C0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2C0" w:rsidRP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Д.П. Заикин,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гражданского права юридического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факультета МГУ </w:t>
      </w:r>
    </w:p>
    <w:p w:rsid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2C0" w:rsidRDefault="002972C0" w:rsidP="00297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972C0">
        <w:rPr>
          <w:rFonts w:ascii="Times New Roman" w:hAnsi="Times New Roman" w:cs="Times New Roman"/>
          <w:b/>
          <w:sz w:val="24"/>
          <w:szCs w:val="24"/>
          <w:lang w:val="ru-RU"/>
        </w:rPr>
        <w:t>роблемы создания и деятельности наследственного фонда</w:t>
      </w:r>
    </w:p>
    <w:p w:rsidR="002D15A8" w:rsidRDefault="002D15A8" w:rsidP="00297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A8" w:rsidRPr="00B33674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основные проблемы теоретического и практического характера, связанные с конструкцией наследственного фонда, включаемой в российское право. Автор выделяет вопросы организационно-правовой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формы, создания и целей деятельности наследственного фонда.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D15A8" w:rsidRP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2D15A8">
        <w:rPr>
          <w:rFonts w:ascii="Times New Roman" w:hAnsi="Times New Roman" w:cs="Times New Roman"/>
          <w:sz w:val="24"/>
          <w:szCs w:val="24"/>
          <w:lang w:val="ru-RU"/>
        </w:rPr>
        <w:t>наследственный фонд, правоспособность некоммерческих организаций, наследственное право.</w:t>
      </w:r>
    </w:p>
    <w:p w:rsidR="002D15A8" w:rsidRPr="00B33674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lastRenderedPageBreak/>
        <w:t>The article concerns key theoretical and practical issues regarding the institution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of hereditary foundation implemented in Russian law. The author outlines the issues of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legal form, establishment and business goals of the hereditary foundation.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A8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2D15A8">
        <w:rPr>
          <w:rFonts w:ascii="Times New Roman" w:hAnsi="Times New Roman" w:cs="Times New Roman"/>
          <w:sz w:val="24"/>
          <w:szCs w:val="24"/>
        </w:rPr>
        <w:t>hereditary foundation, legal capacity of non-profit organizations,</w:t>
      </w:r>
      <w:r w:rsidRPr="002D15A8">
        <w:rPr>
          <w:rFonts w:ascii="Times New Roman" w:hAnsi="Times New Roman" w:cs="Times New Roman"/>
          <w:sz w:val="24"/>
          <w:szCs w:val="24"/>
        </w:rPr>
        <w:t xml:space="preserve"> </w:t>
      </w:r>
      <w:r w:rsidRPr="002D15A8">
        <w:rPr>
          <w:rFonts w:ascii="Times New Roman" w:hAnsi="Times New Roman" w:cs="Times New Roman"/>
          <w:sz w:val="24"/>
          <w:szCs w:val="24"/>
        </w:rPr>
        <w:t>succession law.</w:t>
      </w: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A8" w:rsidRP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>С.И. Коваленко,</w:t>
      </w:r>
      <w:r w:rsidRPr="002D15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аспирант кафедры международного права юридического факультета МГУ </w:t>
      </w: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>волюционный подход Европейского</w:t>
      </w: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суда по правам человека к толкованию норм Европейской конвенции о защите</w:t>
      </w: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 человека и основных свобод: теоретико-правовые основания 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A8" w:rsidRPr="00B33674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 настоящей статье автор рассматривает теоретико-правовые основания используемого Европейским судом по правам человека эволюционного толкования норм Европейской Конвенции о защите прав человека и основных свобод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1950 г. Дискуссионность данной проблематики требует анализа аргументов за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и против правомерности эволюционного толкования. Автор приходит к выводу, что эволюционное толкование получило основу главным образом в объекте и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цели Конвенции, указанных в ее Преамбуле и в ст. 31 Венской конвенции о праве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международных договоров.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A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2D15A8">
        <w:rPr>
          <w:rFonts w:ascii="Times New Roman" w:hAnsi="Times New Roman" w:cs="Times New Roman"/>
          <w:sz w:val="24"/>
          <w:szCs w:val="24"/>
          <w:lang w:val="ru-RU"/>
        </w:rPr>
        <w:t>Конвенция о защите прав человека и основных свобод,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A8">
        <w:rPr>
          <w:rFonts w:ascii="Times New Roman" w:hAnsi="Times New Roman" w:cs="Times New Roman"/>
          <w:sz w:val="24"/>
          <w:szCs w:val="24"/>
          <w:lang w:val="ru-RU"/>
        </w:rPr>
        <w:t>Европейский суд по правам человека, толкование договора, эволюционное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5A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2D15A8">
        <w:rPr>
          <w:rFonts w:ascii="Times New Roman" w:hAnsi="Times New Roman" w:cs="Times New Roman"/>
          <w:sz w:val="24"/>
          <w:szCs w:val="24"/>
          <w:lang w:val="ru-RU"/>
        </w:rPr>
        <w:t>эволютивное</w:t>
      </w:r>
      <w:proofErr w:type="spellEnd"/>
      <w:r w:rsidRPr="002D15A8">
        <w:rPr>
          <w:rFonts w:ascii="Times New Roman" w:hAnsi="Times New Roman" w:cs="Times New Roman"/>
          <w:sz w:val="24"/>
          <w:szCs w:val="24"/>
          <w:lang w:val="ru-RU"/>
        </w:rPr>
        <w:t>) толкование, Венская конвенция.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A8" w:rsidRPr="00B33674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In the present article, the author considers the theoretical and legal basis for the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evolutionary interpretation of the European Convention on Human Rights and Fundamental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Freedoms of 1950 applied by the European Court of Human Rights. Controversies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surrounding the issue challenges us to examine arguments in favour and against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legitimacy of an evolutionary interpretation. The author concludes that evolutionary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interpretation has been based largely on the object and purpose of the Convention established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in its Preamble and Art. 31 of the Vienna Convention on the Law of Treaties.</w:t>
      </w:r>
    </w:p>
    <w:p w:rsidR="00B33674" w:rsidRDefault="00B33674" w:rsidP="002D15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5A8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2D15A8">
        <w:rPr>
          <w:rFonts w:ascii="Times New Roman" w:hAnsi="Times New Roman" w:cs="Times New Roman"/>
          <w:sz w:val="24"/>
          <w:szCs w:val="24"/>
        </w:rPr>
        <w:t>European Convention on Human Rights, European Court of Human</w:t>
      </w:r>
      <w:r w:rsidRPr="002D15A8">
        <w:rPr>
          <w:rFonts w:ascii="Times New Roman" w:hAnsi="Times New Roman" w:cs="Times New Roman"/>
          <w:sz w:val="24"/>
          <w:szCs w:val="24"/>
        </w:rPr>
        <w:t xml:space="preserve"> </w:t>
      </w:r>
      <w:r w:rsidRPr="002D15A8">
        <w:rPr>
          <w:rFonts w:ascii="Times New Roman" w:hAnsi="Times New Roman" w:cs="Times New Roman"/>
          <w:sz w:val="24"/>
          <w:szCs w:val="24"/>
        </w:rPr>
        <w:t>Rights, treaty interpretation, evolutionary (evolutive) interpretation, VCLT.</w:t>
      </w: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5A8" w:rsidRP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>Л.</w:t>
      </w:r>
      <w:bookmarkStart w:id="0" w:name="_GoBack"/>
      <w:bookmarkEnd w:id="0"/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 </w:t>
      </w:r>
      <w:proofErr w:type="spellStart"/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>Гарслян</w:t>
      </w:r>
      <w:proofErr w:type="spellEnd"/>
      <w:r w:rsidRPr="002D15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предпринимательского права юридического факультета МГУ</w:t>
      </w:r>
    </w:p>
    <w:p w:rsidR="002D15A8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A8" w:rsidRPr="006B0B3F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sz w:val="24"/>
          <w:szCs w:val="24"/>
          <w:lang w:val="ru-RU"/>
        </w:rPr>
        <w:t>Правовой режим внебиржевых деривативов в США и</w:t>
      </w:r>
      <w:r w:rsidR="006B0B3F" w:rsidRPr="006B0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0B3F">
        <w:rPr>
          <w:rFonts w:ascii="Times New Roman" w:hAnsi="Times New Roman" w:cs="Times New Roman"/>
          <w:b/>
          <w:sz w:val="24"/>
          <w:szCs w:val="24"/>
          <w:lang w:val="ru-RU"/>
        </w:rPr>
        <w:t>Европейском союзе</w:t>
      </w:r>
    </w:p>
    <w:p w:rsidR="006B0B3F" w:rsidRDefault="006B0B3F" w:rsidP="002D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A8" w:rsidRPr="00B33674" w:rsidRDefault="002D15A8" w:rsidP="002D15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После финансового кризиса 2008 г. США и ЕС предприняли существенные</w:t>
      </w:r>
      <w:r w:rsidR="006B0B3F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меры по регулированию внебиржевых производных финансовых инструментов. В</w:t>
      </w:r>
      <w:r w:rsidR="006B0B3F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настоящей статье проводится сравнительно-правовой анализ правового режима внебиржевых производных финансовых инструментов в США и Европейском</w:t>
      </w:r>
      <w:r w:rsidR="006B0B3F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союзе. Автор приходит к выводу, что европейский подход более соответствует</w:t>
      </w:r>
      <w:r w:rsidR="006B0B3F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своей цели и более всеобъемлющ.</w:t>
      </w:r>
    </w:p>
    <w:p w:rsidR="006B0B3F" w:rsidRP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Ключевые слова: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 xml:space="preserve"> производные финансовые инструменты, внебиржевой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 xml:space="preserve">рынок, Закон </w:t>
      </w:r>
      <w:proofErr w:type="spellStart"/>
      <w:r w:rsidRPr="006B0B3F">
        <w:rPr>
          <w:rFonts w:ascii="Times New Roman" w:hAnsi="Times New Roman" w:cs="Times New Roman"/>
          <w:sz w:val="24"/>
          <w:szCs w:val="24"/>
          <w:lang w:val="ru-RU"/>
        </w:rPr>
        <w:t>Додда</w:t>
      </w:r>
      <w:proofErr w:type="spellEnd"/>
      <w:r w:rsidRPr="006B0B3F">
        <w:rPr>
          <w:rFonts w:ascii="Times New Roman" w:hAnsi="Times New Roman" w:cs="Times New Roman"/>
          <w:sz w:val="24"/>
          <w:szCs w:val="24"/>
          <w:lang w:val="ru-RU"/>
        </w:rPr>
        <w:t>-Франка, EMIR.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After the financial crisis in 2008, the US and EU have taken significant measures in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regulating the OTC derivatives. This Article provides a comparative analysis of the OTC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derivatives legal regime in the US and EU. The author concludes that the EU approach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is more conforming to its purpose and more comprehensive.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F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6B0B3F">
        <w:rPr>
          <w:rFonts w:ascii="Times New Roman" w:hAnsi="Times New Roman" w:cs="Times New Roman"/>
          <w:sz w:val="24"/>
          <w:szCs w:val="24"/>
        </w:rPr>
        <w:t xml:space="preserve"> derivatives, OTC market, Dodd-Frank Act, EMIR.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В.В. Есина,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права и криминологии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юридического факультета МГУ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B3F" w:rsidRPr="00B537D9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37D9">
        <w:rPr>
          <w:rFonts w:ascii="Times New Roman" w:hAnsi="Times New Roman" w:cs="Times New Roman"/>
          <w:b/>
          <w:sz w:val="24"/>
          <w:szCs w:val="24"/>
          <w:lang w:val="ru-RU"/>
        </w:rPr>
        <w:t>Принудительные меры воспитательного</w:t>
      </w:r>
      <w:r w:rsidRPr="00B537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b/>
          <w:sz w:val="24"/>
          <w:szCs w:val="24"/>
          <w:lang w:val="ru-RU"/>
        </w:rPr>
        <w:t>воздействия: вопросы совершенствования</w:t>
      </w:r>
      <w:r w:rsidRPr="00B537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37D9">
        <w:rPr>
          <w:rFonts w:ascii="Times New Roman" w:hAnsi="Times New Roman" w:cs="Times New Roman"/>
          <w:b/>
          <w:sz w:val="24"/>
          <w:szCs w:val="24"/>
          <w:lang w:val="ru-RU"/>
        </w:rPr>
        <w:t>уголовного законодательства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вопросам совершенствования уголовного законодательства Российской Федерации в части регулирования принудительных мер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воспитательного воздействия. Автор предлагает отказаться от термина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«принудительные» в наименовании мер, сместив акцент в сторону воспитания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и ресоциализации несовершеннолетнего, совершившего общественно опасное деяние. При разработке системы мер воспитательного воздействия предлагается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ввести принцип уголовной неответственности несовершеннолетних. Новая система мер воспитательного воздействия разработана с учетом выделения трех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возрастных групп несовершеннолетних.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 xml:space="preserve"> уголовное право, меры воспитательного воздействия,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>несовершеннолетние, возрастные группы, воспитательные меры, воспитательные санкции.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The article is devoted to the improvement of the criminal legislation of the Russian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Federation </w:t>
      </w:r>
      <w:proofErr w:type="gramStart"/>
      <w:r w:rsidRPr="00B33674">
        <w:rPr>
          <w:rFonts w:ascii="Times New Roman" w:hAnsi="Times New Roman" w:cs="Times New Roman"/>
          <w:i/>
          <w:sz w:val="24"/>
          <w:szCs w:val="24"/>
        </w:rPr>
        <w:t>with regard to</w:t>
      </w:r>
      <w:proofErr w:type="gramEnd"/>
      <w:r w:rsidRPr="00B33674">
        <w:rPr>
          <w:rFonts w:ascii="Times New Roman" w:hAnsi="Times New Roman" w:cs="Times New Roman"/>
          <w:i/>
          <w:sz w:val="24"/>
          <w:szCs w:val="24"/>
        </w:rPr>
        <w:t xml:space="preserve"> the regulation of compulsory educational measures. The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author proposes to abandon the term «compulsory» in the name of measures, shifting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the emphasis towards the upbringing and resocialization of a minor who has committed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a generally dangerous act. When developing a system of educational measures, it is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proposed to introduce the principle of criminal non-liability of minors. A new system of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educational measures has been developed </w:t>
      </w:r>
      <w:proofErr w:type="gramStart"/>
      <w:r w:rsidRPr="00B33674">
        <w:rPr>
          <w:rFonts w:ascii="Times New Roman" w:hAnsi="Times New Roman" w:cs="Times New Roman"/>
          <w:i/>
          <w:sz w:val="24"/>
          <w:szCs w:val="24"/>
        </w:rPr>
        <w:t>taking into account</w:t>
      </w:r>
      <w:proofErr w:type="gramEnd"/>
      <w:r w:rsidRPr="00B33674">
        <w:rPr>
          <w:rFonts w:ascii="Times New Roman" w:hAnsi="Times New Roman" w:cs="Times New Roman"/>
          <w:i/>
          <w:sz w:val="24"/>
          <w:szCs w:val="24"/>
        </w:rPr>
        <w:t xml:space="preserve"> the allocation of three age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groups of minors.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F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6B0B3F">
        <w:rPr>
          <w:rFonts w:ascii="Times New Roman" w:hAnsi="Times New Roman" w:cs="Times New Roman"/>
          <w:sz w:val="24"/>
          <w:szCs w:val="24"/>
        </w:rPr>
        <w:t xml:space="preserve"> criminal law, measures of educational influence, minors, age groups,</w:t>
      </w:r>
      <w:r w:rsidRPr="006B0B3F">
        <w:rPr>
          <w:rFonts w:ascii="Times New Roman" w:hAnsi="Times New Roman" w:cs="Times New Roman"/>
          <w:sz w:val="24"/>
          <w:szCs w:val="24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</w:rPr>
        <w:t>educational measures, educational sanctions.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3F" w:rsidRP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sz w:val="24"/>
          <w:szCs w:val="24"/>
          <w:lang w:val="ru-RU"/>
        </w:rPr>
        <w:t>Н.М. Кириллова,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права и криминологии юридического факультета МГУ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0B3F">
        <w:rPr>
          <w:rFonts w:ascii="Times New Roman" w:hAnsi="Times New Roman" w:cs="Times New Roman"/>
          <w:b/>
          <w:sz w:val="24"/>
          <w:szCs w:val="24"/>
          <w:lang w:val="ru-RU"/>
        </w:rPr>
        <w:t>Негативный контент в информационно-телекоммуникационной сети Интернет: проблемы определения и классификации</w:t>
      </w:r>
    </w:p>
    <w:p w:rsidR="006B0B3F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B3F" w:rsidRPr="00B33674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Статья посвящена проблемам ответственности за размещение негативной и противоправной информации в информационно-коммуникационной сети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Интернет. Автором затрагиваются вопросы правового определения информационного содержания сайта в сети Интернет, а также перечня незаконной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информации. В статье на примере зарубежного опыта обосновывается необходимость использования понятия «контент» по отношению к информации, размещаемой в пространстве сети Интернет (сайте, блоге, форуме, социальных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сетях и др.). На основе проведенного анализа зарубежного и отечественного законодательства в сфере компьютерной информации и существующих классификаций основных видов «контента», автор предлагает классификацию «</w:t>
      </w:r>
      <w:proofErr w:type="spellStart"/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контентов</w:t>
      </w:r>
      <w:proofErr w:type="spellEnd"/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», а также приводит перечень информации, которую можно отнести к</w:t>
      </w:r>
      <w:r w:rsidR="00B537D9" w:rsidRPr="00B336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  <w:lang w:val="ru-RU"/>
        </w:rPr>
        <w:t>«незаконному контенту».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B0B3F" w:rsidRPr="00B537D9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7D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>контент, незаконный контент, вредный контент, данные контента, информация, компьютерная информация, Интернет, социальные сети, порнография, детская порнография, терроризм, экстремизм,</w:t>
      </w:r>
      <w:r w:rsid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>зарубежное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  <w:lang w:val="ru-RU"/>
        </w:rPr>
        <w:t>законодательство</w:t>
      </w:r>
      <w:r w:rsidRPr="00B537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674" w:rsidRP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0B3F" w:rsidRPr="00B537D9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674">
        <w:rPr>
          <w:rFonts w:ascii="Times New Roman" w:hAnsi="Times New Roman" w:cs="Times New Roman"/>
          <w:i/>
          <w:sz w:val="24"/>
          <w:szCs w:val="24"/>
        </w:rPr>
        <w:t>The article is devoted to problems of responsibility for placing negative and illegal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information on the Internet. The author raises issues of legal definition of the information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content of the site on the Internet, as well as the list of illegal information. On the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 xml:space="preserve">example of foreign </w:t>
      </w:r>
      <w:proofErr w:type="gramStart"/>
      <w:r w:rsidRPr="00B33674">
        <w:rPr>
          <w:rFonts w:ascii="Times New Roman" w:hAnsi="Times New Roman" w:cs="Times New Roman"/>
          <w:i/>
          <w:sz w:val="24"/>
          <w:szCs w:val="24"/>
        </w:rPr>
        <w:t>experience</w:t>
      </w:r>
      <w:proofErr w:type="gramEnd"/>
      <w:r w:rsidRPr="00B33674">
        <w:rPr>
          <w:rFonts w:ascii="Times New Roman" w:hAnsi="Times New Roman" w:cs="Times New Roman"/>
          <w:i/>
          <w:sz w:val="24"/>
          <w:szCs w:val="24"/>
        </w:rPr>
        <w:t xml:space="preserve"> the author justifies the need of using the notion “content”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in relation to information placed on the Internet (site, blog, forum, social networks,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etc.). Based on the analysis of foreign and domestic legislation in the field of computer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information and existing classifications of the main types of «content», the author suggests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classification of “contents”, and also offers lists of information that can be referred</w:t>
      </w:r>
      <w:r w:rsidR="00B537D9" w:rsidRPr="00B33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674">
        <w:rPr>
          <w:rFonts w:ascii="Times New Roman" w:hAnsi="Times New Roman" w:cs="Times New Roman"/>
          <w:i/>
          <w:sz w:val="24"/>
          <w:szCs w:val="24"/>
        </w:rPr>
        <w:t>as “illegal content”.</w:t>
      </w:r>
    </w:p>
    <w:p w:rsidR="00B33674" w:rsidRDefault="00B33674" w:rsidP="006B0B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0B3F" w:rsidRPr="00B537D9" w:rsidRDefault="006B0B3F" w:rsidP="006B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7D9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6B0B3F">
        <w:rPr>
          <w:rFonts w:ascii="Times New Roman" w:hAnsi="Times New Roman" w:cs="Times New Roman"/>
          <w:sz w:val="24"/>
          <w:szCs w:val="24"/>
        </w:rPr>
        <w:t>content, illegal content, harmful content, content data, information,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6B0B3F">
        <w:rPr>
          <w:rFonts w:ascii="Times New Roman" w:hAnsi="Times New Roman" w:cs="Times New Roman"/>
          <w:sz w:val="24"/>
          <w:szCs w:val="24"/>
        </w:rPr>
        <w:t>computer information, Internet, social networks, pornography, child pornography,</w:t>
      </w:r>
      <w:r w:rsidR="00B537D9" w:rsidRPr="00B537D9">
        <w:rPr>
          <w:rFonts w:ascii="Times New Roman" w:hAnsi="Times New Roman" w:cs="Times New Roman"/>
          <w:sz w:val="24"/>
          <w:szCs w:val="24"/>
        </w:rPr>
        <w:t xml:space="preserve"> </w:t>
      </w:r>
      <w:r w:rsidRPr="00B537D9">
        <w:rPr>
          <w:rFonts w:ascii="Times New Roman" w:hAnsi="Times New Roman" w:cs="Times New Roman"/>
          <w:sz w:val="24"/>
          <w:szCs w:val="24"/>
        </w:rPr>
        <w:t>terrorism, extremism, foreign legislation.</w:t>
      </w:r>
    </w:p>
    <w:p w:rsidR="00B138A6" w:rsidRPr="001628F7" w:rsidRDefault="00B138A6" w:rsidP="00815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D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sectPr w:rsidR="00B138A6" w:rsidRPr="00162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11986"/>
    <w:rsid w:val="00020C44"/>
    <w:rsid w:val="00040FAA"/>
    <w:rsid w:val="00041D9B"/>
    <w:rsid w:val="0004656D"/>
    <w:rsid w:val="000468D5"/>
    <w:rsid w:val="000575A3"/>
    <w:rsid w:val="00094A79"/>
    <w:rsid w:val="000D7D1A"/>
    <w:rsid w:val="00117044"/>
    <w:rsid w:val="00121AAA"/>
    <w:rsid w:val="00132FA1"/>
    <w:rsid w:val="001628F7"/>
    <w:rsid w:val="00163605"/>
    <w:rsid w:val="001B351B"/>
    <w:rsid w:val="00200B4E"/>
    <w:rsid w:val="002578E0"/>
    <w:rsid w:val="002917C7"/>
    <w:rsid w:val="002972C0"/>
    <w:rsid w:val="002A43EF"/>
    <w:rsid w:val="002C56F1"/>
    <w:rsid w:val="002D15A8"/>
    <w:rsid w:val="002D4A7C"/>
    <w:rsid w:val="00334CF7"/>
    <w:rsid w:val="003C1349"/>
    <w:rsid w:val="003C485A"/>
    <w:rsid w:val="003E028C"/>
    <w:rsid w:val="0041777B"/>
    <w:rsid w:val="004A3297"/>
    <w:rsid w:val="004E0064"/>
    <w:rsid w:val="0052501C"/>
    <w:rsid w:val="005379FA"/>
    <w:rsid w:val="00542501"/>
    <w:rsid w:val="00551DFF"/>
    <w:rsid w:val="005734A5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6B0B3F"/>
    <w:rsid w:val="00700213"/>
    <w:rsid w:val="00702F94"/>
    <w:rsid w:val="007072EB"/>
    <w:rsid w:val="00711F8E"/>
    <w:rsid w:val="007B3A7A"/>
    <w:rsid w:val="007F750C"/>
    <w:rsid w:val="00801C25"/>
    <w:rsid w:val="00815CFD"/>
    <w:rsid w:val="008225B5"/>
    <w:rsid w:val="00885983"/>
    <w:rsid w:val="008A7E3E"/>
    <w:rsid w:val="00904493"/>
    <w:rsid w:val="00906B38"/>
    <w:rsid w:val="009151F1"/>
    <w:rsid w:val="00932E66"/>
    <w:rsid w:val="00934FCF"/>
    <w:rsid w:val="00967529"/>
    <w:rsid w:val="00993E1C"/>
    <w:rsid w:val="009A7B6B"/>
    <w:rsid w:val="009E2CF3"/>
    <w:rsid w:val="00A15428"/>
    <w:rsid w:val="00A252D7"/>
    <w:rsid w:val="00AA12D9"/>
    <w:rsid w:val="00AA7723"/>
    <w:rsid w:val="00AD264E"/>
    <w:rsid w:val="00B138A6"/>
    <w:rsid w:val="00B33674"/>
    <w:rsid w:val="00B524F9"/>
    <w:rsid w:val="00B537D9"/>
    <w:rsid w:val="00B560CC"/>
    <w:rsid w:val="00BB7690"/>
    <w:rsid w:val="00BC0727"/>
    <w:rsid w:val="00C41462"/>
    <w:rsid w:val="00C520B7"/>
    <w:rsid w:val="00C77EE3"/>
    <w:rsid w:val="00CB53A7"/>
    <w:rsid w:val="00CE5D22"/>
    <w:rsid w:val="00CF5C46"/>
    <w:rsid w:val="00D369A1"/>
    <w:rsid w:val="00DC3BFC"/>
    <w:rsid w:val="00DD59ED"/>
    <w:rsid w:val="00E04B00"/>
    <w:rsid w:val="00E0538C"/>
    <w:rsid w:val="00E062CF"/>
    <w:rsid w:val="00E21BE2"/>
    <w:rsid w:val="00E75850"/>
    <w:rsid w:val="00EA31FB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2E71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21</cp:revision>
  <dcterms:created xsi:type="dcterms:W3CDTF">2017-04-21T09:27:00Z</dcterms:created>
  <dcterms:modified xsi:type="dcterms:W3CDTF">2018-08-27T18:37:00Z</dcterms:modified>
</cp:coreProperties>
</file>