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EE433" w14:textId="756D7EBA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14:paraId="4F654913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14:paraId="7BB141DA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14:paraId="5A38543C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14:paraId="3E046E5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14:paraId="4B0AED8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83F84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</w:t>
      </w:r>
      <w:proofErr w:type="gramEnd"/>
      <w:r w:rsidRPr="00F4097D">
        <w:rPr>
          <w:rFonts w:ascii="Times New Roman" w:hAnsi="Times New Roman" w:cs="Times New Roman"/>
          <w:sz w:val="24"/>
          <w:szCs w:val="24"/>
          <w:lang w:val="ru-RU"/>
        </w:rPr>
        <w:t xml:space="preserve"> один раз в два месяца</w:t>
      </w:r>
    </w:p>
    <w:p w14:paraId="57B9B079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4062D" w14:textId="32D96EE9" w:rsidR="005379FA" w:rsidRDefault="009B5E0D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B8618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20</w:t>
      </w:r>
      <w:r w:rsidR="001F50D3" w:rsidRPr="00B8618C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</w:t>
      </w:r>
      <w:r w:rsidR="00B8618C">
        <w:rPr>
          <w:rFonts w:ascii="Times New Roman" w:hAnsi="Times New Roman" w:cs="Times New Roman"/>
          <w:b/>
          <w:sz w:val="24"/>
          <w:szCs w:val="24"/>
          <w:lang w:val="ru-RU"/>
        </w:rPr>
        <w:t>май</w:t>
      </w:r>
      <w:r w:rsidR="0036650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B8618C">
        <w:rPr>
          <w:rFonts w:ascii="Times New Roman" w:hAnsi="Times New Roman" w:cs="Times New Roman"/>
          <w:b/>
          <w:sz w:val="24"/>
          <w:szCs w:val="24"/>
          <w:lang w:val="ru-RU"/>
        </w:rPr>
        <w:t>июнь</w:t>
      </w:r>
    </w:p>
    <w:p w14:paraId="76E70DAE" w14:textId="1904CF1D" w:rsidR="001F50D3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7A46DE" w14:textId="1219A6AA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К 75-летию Победы в Великой</w:t>
      </w:r>
      <w:r w:rsid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Отечественной войне (1945–2020)</w:t>
      </w:r>
    </w:p>
    <w:p w14:paraId="2278DCCA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4EFF46" w14:textId="4D547647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Т.Е.</w:t>
      </w:r>
      <w:proofErr w:type="gramEnd"/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Новицкая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, доктор юридических наук, профессор кафедры и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тории государства и права юридического факультета МГУ</w:t>
      </w:r>
      <w:r w:rsidRPr="00527666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1</w:t>
      </w:r>
    </w:p>
    <w:p w14:paraId="0D92D18B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A3D3D4" w14:textId="3C4A685F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Советское государство в 1941 году</w:t>
      </w:r>
    </w:p>
    <w:p w14:paraId="6A6AD83B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4AD94EEE" w14:textId="47823013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В статье рассматриваются изменения, произошедшие в Советском Союзе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в первые</w:t>
      </w:r>
      <w:r w:rsid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месяцы Великой Отечественной войны. Работа построена на изучении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нормативных правовых актов военного времени.</w:t>
      </w:r>
    </w:p>
    <w:p w14:paraId="59B9849F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14:paraId="12EF3FE2" w14:textId="50410B99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Ключевые слова: 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Великая Отечественная война, Совет Народных Комиссаров,</w:t>
      </w:r>
      <w:r w:rsid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Государственный Комитет Обороны.</w:t>
      </w:r>
    </w:p>
    <w:p w14:paraId="031377B4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</w:pPr>
    </w:p>
    <w:p w14:paraId="7E29E39B" w14:textId="69E9A9CC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</w:pP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The article examines the changes that occurred in the Soviet state in the first</w:t>
      </w:r>
      <w:r w:rsidR="00527666"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months of the great Patriotic war. The work is based on the study of normative legal acts</w:t>
      </w:r>
      <w:r w:rsidR="00527666"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of wartime.</w:t>
      </w:r>
    </w:p>
    <w:p w14:paraId="2E80DB87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4075701" w14:textId="6542F218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</w:rPr>
        <w:t xml:space="preserve">Keywords: 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</w:rPr>
        <w:t>Great Patriotic war, Council of People’s Commissars, State Defense</w:t>
      </w:r>
      <w:r w:rsidR="00527666" w:rsidRPr="00527666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</w:rPr>
        <w:t>Committee.</w:t>
      </w:r>
    </w:p>
    <w:p w14:paraId="62DC0B16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521C56F5" w14:textId="544E81F2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Теоретические проблемы права</w:t>
      </w:r>
    </w:p>
    <w:p w14:paraId="1FA21793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7F6CCA" w14:textId="70FBF6C3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Ю.Н.</w:t>
      </w:r>
      <w:proofErr w:type="gramEnd"/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Сушкова,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доктор исторических наук, доцент, докторант кафедры истории государства и права юридического факультета МГУ</w:t>
      </w:r>
      <w:r w:rsidRPr="00527666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86</w:t>
      </w:r>
    </w:p>
    <w:p w14:paraId="012AFFE2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ED9076" w14:textId="4FC0F61E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Особенности юридической природы</w:t>
      </w:r>
      <w:r w:rsid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обычного права</w:t>
      </w:r>
    </w:p>
    <w:p w14:paraId="22ECF397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0DE76DCE" w14:textId="34306C3F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исследуются особенности юридической природы обычного права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 точки зрения этнографической теории права (этноправоведения). На основе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как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отечественных, так и зарубежных источников обосновывается сущность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обычного права, правоучредителем которого выступает народ (этнос), воплотивший понимание множества правовых воззрений, затрагивающих наиболее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существенные сферы его жизнедеятельности. Познание обычного права осуществляется с опорой на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цивилизационный подход к рассмотрению историко-правового развития юридических явлений как отражения правовых ценностей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того или иного народа, его правосознания посредством сложившихся мировоззренческих установок.</w:t>
      </w:r>
    </w:p>
    <w:p w14:paraId="0B2A2B59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25D4CA2" w14:textId="49A15817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 xml:space="preserve">Ключевые слова: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обычное право, правовой обычай, этнографическая теория права, этноправоведение.</w:t>
      </w:r>
    </w:p>
    <w:p w14:paraId="709207F9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5215700E" w14:textId="40420627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investigates the features of the legal nature of customary law from the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perspective of ethnographic theory of law (ethnic legal studies). On the base of Russian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and foreign sources the essence of the customary law is substantiated, the legal owner of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which are people (ethnos), providing understanding of multiple legal categories, regulated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most important spheres of their livehood. Customary law studies are done on the base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of civilization approach to historical-legal development of the institutions as reflection of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legal values of the </w:t>
      </w:r>
      <w:proofErr w:type="gramStart"/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particular ethnos</w:t>
      </w:r>
      <w:proofErr w:type="gramEnd"/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.</w:t>
      </w:r>
    </w:p>
    <w:p w14:paraId="653D6ABD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59BCC373" w14:textId="03E2CA77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customary law, legal custom, ethnographic theory of law, ethnic legal</w:t>
      </w:r>
      <w:r w:rsidR="00527666" w:rsidRPr="0052766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studies.</w:t>
      </w:r>
    </w:p>
    <w:p w14:paraId="2DCA9702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</w:p>
    <w:p w14:paraId="1B76BEFD" w14:textId="2E7DDE6C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Вопросы уголовного права и процесса</w:t>
      </w:r>
    </w:p>
    <w:p w14:paraId="106DE10C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7E5BE6F7" w14:textId="0CC37F6A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52766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М.А.</w:t>
      </w:r>
      <w:proofErr w:type="gramEnd"/>
      <w:r w:rsidRPr="0052766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Филатова,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кандидат юридических наук, доцент кафедры уголовного права и криминологии юридического факультета МГУ</w:t>
      </w:r>
    </w:p>
    <w:p w14:paraId="4F4A7DD4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59497C0C" w14:textId="1B13400B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Киберхарассмент: основания запрета</w:t>
      </w:r>
      <w:r w:rsidR="0052766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по российскому и зарубежному</w:t>
      </w:r>
      <w:r w:rsidR="0052766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уголовному законодательству</w:t>
      </w:r>
    </w:p>
    <w:p w14:paraId="4841D021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3DEF54BD" w14:textId="485C9DCE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рассмотрено содержание понятий кибернасилия и киберхарассмента и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описаны виды последнего. Приведены иллюстрации из российской и зарубежной практики, обозначены проблемы квалификации деяний, относящихся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 видам киберхарассмента, по УК РФ. Автор указывает на ошибочность законодательного и правоприменительного восприятия объекта преступлений, являющихся элементами кибернасилия, и отстаивает необходимость изменения</w:t>
      </w:r>
      <w:r w:rsid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российского подхода.</w:t>
      </w:r>
    </w:p>
    <w:p w14:paraId="4971ED1C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B7D9E61" w14:textId="7E52C2E3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киберпреступность, кибернасилие, харассмент, кибербуллинг, тайна частной жизни, неправомерный доступ к компьютерной информации.</w:t>
      </w:r>
    </w:p>
    <w:p w14:paraId="79669620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79EE4323" w14:textId="4D63F7A1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discusses the concepts of cyberviolence and cyberharassment and describes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types of the latter. The illustrations from Russian and foreign cases are given. The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author points out the problems of qualification of acts related to the types of cyberharassment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according to the Russian Criminal Code and states that the Russian approach</w:t>
      </w:r>
      <w:r w:rsidR="00527666"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towards object of crime is not correct and should be changed.</w:t>
      </w:r>
    </w:p>
    <w:p w14:paraId="504254C1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14A410FE" w14:textId="54CAE647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cybercrime, cyberviolence, harassment, cyberbullying, privacy, unlawful</w:t>
      </w:r>
      <w:r w:rsidR="00527666" w:rsidRPr="0052766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access to computer information.</w:t>
      </w:r>
    </w:p>
    <w:p w14:paraId="6915CEFC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B722A7" w14:textId="28606A85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В.Б. </w:t>
      </w:r>
      <w:proofErr w:type="spellStart"/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Хатуев</w:t>
      </w:r>
      <w:proofErr w:type="spellEnd"/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, кандидат юридических наук, доцент кафедры уголовного</w:t>
      </w:r>
      <w:r w:rsid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права и</w:t>
      </w:r>
      <w:r w:rsid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криминологии юридического факультета Чеченского государственного университета</w:t>
      </w:r>
      <w:r w:rsidRPr="00527666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29</w:t>
      </w:r>
    </w:p>
    <w:p w14:paraId="557E4898" w14:textId="77777777" w:rsid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AAE591" w14:textId="56379EF8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Совершение преступления в отношении</w:t>
      </w:r>
      <w:r w:rsid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беременной женщины как отягчающее</w:t>
      </w:r>
    </w:p>
    <w:p w14:paraId="50854383" w14:textId="107CF531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наказание обстоятельство в российском</w:t>
      </w:r>
      <w:r w:rsid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уголовном законодательстве</w:t>
      </w:r>
    </w:p>
    <w:p w14:paraId="65E041F8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7FA23B57" w14:textId="359D66E6" w:rsidR="00B8618C" w:rsidRPr="000A5630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В статье анализируются особенности конструирования, трактовки и использования признака состояния беременности женщины как отягчающего наказание фактора (п. «з» ч. 1 ст. 63 УК РФ). Автором предпринята попытка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исследовать эволюцию законодательного подхода к формированию данного обстоятельства в российском уголовном праве. Одновременно критически рассмотрены имеющиеся в доктрине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уголовного права различные воззрения на решение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существующих проблем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интерпретации состояния беременности как обстоя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тельства, отягчающего наказание;</w:t>
      </w:r>
      <w:r w:rsidR="000A563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выработаны предложения по совершенствованию законодательной регламентации данного обстоятельства и практики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его применения.</w:t>
      </w:r>
    </w:p>
    <w:p w14:paraId="64C2FF10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DBB6016" w14:textId="0D7F8570" w:rsidR="00B8618C" w:rsidRPr="000A5630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назначение наказания, индивидуализация наказания,</w:t>
      </w:r>
      <w:r w:rsidR="000A563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отягчение наказания, отягчающее наказание обстоятельство, беременность</w:t>
      </w:r>
      <w:r w:rsidR="000A563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0A5630">
        <w:rPr>
          <w:rFonts w:ascii="Times New Roman" w:eastAsia="Newton-Regular" w:hAnsi="Times New Roman" w:cs="Times New Roman"/>
          <w:sz w:val="24"/>
          <w:szCs w:val="24"/>
          <w:lang w:val="ru-RU"/>
        </w:rPr>
        <w:t>женщины, заведомость.</w:t>
      </w:r>
    </w:p>
    <w:p w14:paraId="4F170F34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7857DEF3" w14:textId="037559AD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analyzes the features of the design, interpretation and use of a woman’s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state of pregnancy as an aggravating factor (art. 63 (1)(z) CC RF). It attempts to examine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the evolution of the legislative approach to the formation of this circumstance in Russian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criminal law. At the same time, different views on the solution of existing problems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of interpreting the state of pregnancy as a circumstance aggravating the punishment that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are available in the doctrine of criminal law are critically considered; proposals were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developed to improve the legislative regulation of this circumstance and practice of its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application.</w:t>
      </w:r>
    </w:p>
    <w:p w14:paraId="548417B4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2487B7D5" w14:textId="1E129DBE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sentencing, individualization of punishment, aggravating punishment,</w:t>
      </w:r>
      <w:r w:rsidR="000A5630" w:rsidRPr="000A563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aggravating circumstance, woman’s state of pregnancy, knowingness.</w:t>
      </w:r>
    </w:p>
    <w:p w14:paraId="1622BEA5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4624107D" w14:textId="4B3A4981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Проблемы криминалистики</w:t>
      </w:r>
    </w:p>
    <w:p w14:paraId="5133ED3D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D0A2C6" w14:textId="5D2E1605" w:rsidR="00B8618C" w:rsidRPr="000A5630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Е.С.</w:t>
      </w:r>
      <w:proofErr w:type="gramEnd"/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Крюкова,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ассистент кафедры криминалистики юридического факультета МГУ</w:t>
      </w:r>
      <w:r w:rsidRPr="00527666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67</w:t>
      </w:r>
    </w:p>
    <w:p w14:paraId="0D1FFADF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652A05" w14:textId="42BFA00F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Соотношение закономерности</w:t>
      </w:r>
      <w:r w:rsidR="000A563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и случайности в фокусе криминалистики</w:t>
      </w:r>
    </w:p>
    <w:p w14:paraId="1E09B8E4" w14:textId="77777777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(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статья вторая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)</w:t>
      </w:r>
    </w:p>
    <w:p w14:paraId="6BC26160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27888B6A" w14:textId="15E3454A" w:rsidR="00B8618C" w:rsidRPr="000A5630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В статье рассматриваются сущность и предмет криминалистической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науки и входящие в нее закономерности объективной действительности. Закономерности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рассматриваются как общие, представляющие собой выражение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существенных, внутренних, необходимых и повторяющихся связей и отношений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действительности. Ее антиподом, дополнением и формой проявления является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случайность, характерной чертой которой можно назвать единичность, уникальность, индивидуальность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объектов. Автор доказывает, что криминали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стика познает то типичное,</w:t>
      </w:r>
      <w:r w:rsidR="000A563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повторяющееся, устойчивое, что характерно для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криминальной и криминалистической деятельности, но этим не ограничивается, познавая индивидуальные и уникальные явления и объекты, отклоняющиеся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 типичных.</w:t>
      </w:r>
    </w:p>
    <w:p w14:paraId="20226673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2BA3FDF" w14:textId="2491CC51" w:rsidR="00B8618C" w:rsidRPr="000A5630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криминалистика, закономерность, случайность, пред</w:t>
      </w:r>
      <w:r w:rsidRPr="000A5630">
        <w:rPr>
          <w:rFonts w:ascii="Times New Roman" w:eastAsia="Newton-Regular" w:hAnsi="Times New Roman" w:cs="Times New Roman"/>
          <w:sz w:val="24"/>
          <w:szCs w:val="24"/>
          <w:lang w:val="ru-RU"/>
        </w:rPr>
        <w:t>мет науки, индивидуальность.</w:t>
      </w:r>
    </w:p>
    <w:p w14:paraId="33BA7AD0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5DAEEEDD" w14:textId="7E1FB0F8" w:rsidR="00B8618C" w:rsidRPr="0052766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>The article discusses the essence and subject of forensic science and the patterns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(laws) of objective reality included in it. Patterns are considered as general, representing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the expression of essential, internal, </w:t>
      </w:r>
      <w:proofErr w:type="gramStart"/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necessary</w:t>
      </w:r>
      <w:proofErr w:type="gramEnd"/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and repetitive relationships of reality. </w:t>
      </w:r>
      <w:proofErr w:type="gramStart"/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Its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antipode,</w:t>
      </w:r>
      <w:proofErr w:type="gramEnd"/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complement and form of manifestation is randomness, a characteristic feature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of which can be called individuality and uniqueness of objects. The author proves that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forensic science knows that which is typical, repetitive, stable, which is characteristic of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criminal and forensic activities, but this is not limited to, knowing individual and unique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phenomena and objects that deviate from typical ones.</w:t>
      </w:r>
    </w:p>
    <w:p w14:paraId="27596A39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55F2F40B" w14:textId="18E2AC53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criminalistics, patterns (laws), randomness, subject of forensic science,</w:t>
      </w:r>
      <w:r w:rsidR="000A5630" w:rsidRPr="000A563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individuality.</w:t>
      </w:r>
    </w:p>
    <w:p w14:paraId="676A7E44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</w:p>
    <w:p w14:paraId="7F448C19" w14:textId="4AF9ACE4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Трибуна молодых ученых</w:t>
      </w:r>
    </w:p>
    <w:p w14:paraId="373995A3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146F87" w14:textId="108CBA44" w:rsidR="00527666" w:rsidRPr="000A5630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А.А.</w:t>
      </w:r>
      <w:proofErr w:type="gramEnd"/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Каспаров,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соискатель кафедры истории государства и права юридического факультета МГУ</w:t>
      </w:r>
      <w:r w:rsidRPr="00527666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19</w:t>
      </w:r>
    </w:p>
    <w:p w14:paraId="03B8E11E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EC6677" w14:textId="46F23FB4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Правовая природа Временного правительства</w:t>
      </w:r>
      <w:r w:rsidR="000A563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России 1917 г. (по материалам Юридического совещания)</w:t>
      </w:r>
    </w:p>
    <w:p w14:paraId="716D31E5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5815E0E1" w14:textId="7610F400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Статья посвящена вопросу правовой природы Временного правительства.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Рассматривается трактовка данного вопроса, выраженная в экспертных заключениях Юридического совещания при Временном правительстве.</w:t>
      </w:r>
    </w:p>
    <w:p w14:paraId="1FD1159C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14:paraId="54B605B6" w14:textId="55D5D8B5" w:rsidR="00527666" w:rsidRPr="000A5630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Ключевые слова: 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Временное правительство России, Юридическое сове</w:t>
      </w:r>
      <w:r w:rsidRPr="000A563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щание, правовая природа.</w:t>
      </w:r>
    </w:p>
    <w:p w14:paraId="5636F7CB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</w:pPr>
    </w:p>
    <w:p w14:paraId="25F97B02" w14:textId="05A7077F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</w:pP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The article is devoted to the issue of legal nature of the Russian Provisional Government.</w:t>
      </w:r>
      <w:r w:rsidR="000A5630" w:rsidRP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It considers the interpretation of the legal nature of the Russian Provisional</w:t>
      </w:r>
      <w:r w:rsidR="000A5630" w:rsidRP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Government expressed in the expert conclusions of the Russian Provisional Government`s</w:t>
      </w:r>
      <w:r w:rsidR="000A5630" w:rsidRP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</w:rPr>
        <w:t>Juridical Council.</w:t>
      </w:r>
    </w:p>
    <w:p w14:paraId="25B11BB7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6B9FCA8C" w14:textId="16810FED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Russian Provisional Government, Russian Provisional Government`s Juridical Council, legal nature.</w:t>
      </w:r>
    </w:p>
    <w:p w14:paraId="4C4C0C21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2B838" w14:textId="10D10257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527666">
        <w:rPr>
          <w:rFonts w:ascii="Times New Roman" w:hAnsi="Times New Roman" w:cs="Times New Roman"/>
          <w:b/>
          <w:bCs/>
          <w:sz w:val="24"/>
          <w:szCs w:val="24"/>
          <w:lang w:val="ru-RU"/>
        </w:rPr>
        <w:t>Т.А.</w:t>
      </w:r>
      <w:proofErr w:type="gramEnd"/>
      <w:r w:rsidRPr="005276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Снежко,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аспирантка кафедры истории государства и права юридического факультета МГУ</w:t>
      </w:r>
    </w:p>
    <w:p w14:paraId="44FDFE75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330D71" w14:textId="2A2083F4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76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Развитие права компаний в Англии в </w:t>
      </w:r>
      <w:r w:rsidRPr="00527666">
        <w:rPr>
          <w:rFonts w:ascii="Times New Roman" w:hAnsi="Times New Roman" w:cs="Times New Roman"/>
          <w:b/>
          <w:bCs/>
          <w:sz w:val="24"/>
          <w:szCs w:val="24"/>
        </w:rPr>
        <w:t>XVIII</w:t>
      </w:r>
      <w:r w:rsidRPr="005276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  <w:r w:rsidR="000A5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27666">
        <w:rPr>
          <w:rFonts w:ascii="Times New Roman" w:hAnsi="Times New Roman" w:cs="Times New Roman"/>
          <w:b/>
          <w:bCs/>
          <w:sz w:val="24"/>
          <w:szCs w:val="24"/>
          <w:lang w:val="ru-RU"/>
        </w:rPr>
        <w:t>(после принятия Акта «О мыльных пузырях»)</w:t>
      </w:r>
    </w:p>
    <w:p w14:paraId="1ECE0E3E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9F3B668" w14:textId="42F6EC43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Статья посвящена развитию права компаний в Англии в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XVIII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в. В статье</w:t>
      </w:r>
      <w:r w:rsidR="000A563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анализируется правовое положение корпораций и неинкорпорированных компаний после принятия Акта «О мыльных пузырях» 1720 г., обобщается практика</w:t>
      </w:r>
      <w:r w:rsidR="000A563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XVIII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столетия по вопросам корпоративного и акционерного права, рассматриваются принципы и нормы акционерного и корпоративного права, выработанные</w:t>
      </w:r>
      <w:r w:rsidR="000A563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судами в указанный период.</w:t>
      </w:r>
    </w:p>
    <w:p w14:paraId="4BFBDA85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CBB9CC4" w14:textId="371659D9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Акт </w:t>
      </w:r>
      <w:r w:rsidRPr="00527666">
        <w:rPr>
          <w:rFonts w:ascii="Cambria Math" w:eastAsia="Newton-Regular" w:hAnsi="Cambria Math" w:cs="Cambria Math"/>
          <w:sz w:val="24"/>
          <w:szCs w:val="24"/>
          <w:lang w:val="ru-RU"/>
        </w:rPr>
        <w:t>≪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О мыльных пузырях</w:t>
      </w:r>
      <w:r w:rsidRPr="00527666">
        <w:rPr>
          <w:rFonts w:ascii="Cambria Math" w:eastAsia="Newton-Regular" w:hAnsi="Cambria Math" w:cs="Cambria Math"/>
          <w:sz w:val="24"/>
          <w:szCs w:val="24"/>
          <w:lang w:val="ru-RU"/>
        </w:rPr>
        <w:t>≫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, корпорация, акционерная</w:t>
      </w:r>
      <w:r w:rsidR="000A563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компания, неинкорпорированная компания, права акционеров, право собственности и имущественный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lastRenderedPageBreak/>
        <w:t>интерес, оплата акций, правовая природа акций, реальное и персональное имущество, устав компании, корпоративное</w:t>
      </w:r>
      <w:r w:rsidR="000A563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управление, ограниченная ответственность акционеров, ответственность</w:t>
      </w:r>
      <w:r w:rsidR="000A563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  <w:lang w:val="ru-RU"/>
        </w:rPr>
        <w:t>директоров, Англия.</w:t>
      </w:r>
    </w:p>
    <w:p w14:paraId="5C2D324C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5E6C3F00" w14:textId="43925325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is devoted to the development of company law in England in the XVIII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century. It analyses the legal status of corporations and unincorporated companies after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the adoption of the Bubble Act 1720, summarizes the XVIII century precedents on issues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of corporate and joint stock company law, as well as outlines the principles and norms of</w:t>
      </w:r>
      <w:r w:rsidR="000A5630" w:rsidRPr="000A563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joint stock and corporate law developed by the courts in the specified period.</w:t>
      </w:r>
    </w:p>
    <w:p w14:paraId="2F8C6535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1E4B2B4A" w14:textId="74932C3C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Bubble Act, corporation, joint-stock company, unincorporated</w:t>
      </w:r>
      <w:r w:rsidR="000A5630" w:rsidRPr="000A563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company, rights of shareholders, legal interest and equitable interest, payment of</w:t>
      </w:r>
      <w:r w:rsidR="000A5630" w:rsidRPr="000A563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shares, legal nature of shares, real property and personal property, charter, corporate</w:t>
      </w:r>
      <w:r w:rsidR="000A5630" w:rsidRPr="000A563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governance, limited liability, directors’ responsibility, England.</w:t>
      </w:r>
    </w:p>
    <w:p w14:paraId="39C4985E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E32C81" w14:textId="3787C2BF" w:rsidR="00527666" w:rsidRPr="000A5630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А.О. </w:t>
      </w:r>
      <w:proofErr w:type="spellStart"/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Шиткин</w:t>
      </w:r>
      <w:proofErr w:type="spellEnd"/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соискатель кафедры гражданского права юридического</w:t>
      </w:r>
      <w:r w:rsidR="000A563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факультета МГУ</w:t>
      </w:r>
      <w:r w:rsidRPr="00527666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36</w:t>
      </w:r>
    </w:p>
    <w:p w14:paraId="3030694D" w14:textId="77777777" w:rsidR="000A5630" w:rsidRDefault="000A5630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B457C7" w14:textId="5F6CD536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контролирующего лица</w:t>
      </w:r>
      <w:r w:rsidR="009C20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перед участниками подконтрольной</w:t>
      </w:r>
      <w:r w:rsidR="009C20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корпорации</w:t>
      </w:r>
    </w:p>
    <w:p w14:paraId="3E8A604C" w14:textId="77777777" w:rsidR="009C2036" w:rsidRDefault="009C203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498C945E" w14:textId="1EF1B997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В настоящей статье рассматриваются вопросы ответственности контролирующего лица перед участниками подконтрольной корпорации, обосновывается существование правоотношения между участниками подконтрольной</w:t>
      </w:r>
      <w:r w:rsidR="009C203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корпорации и контролирующим лицом, а также исследуются его элементы.</w:t>
      </w:r>
    </w:p>
    <w:p w14:paraId="7FB1DD6F" w14:textId="77777777" w:rsidR="009C2036" w:rsidRDefault="009C203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14:paraId="383C2D67" w14:textId="3AFF35B3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Ключевые слова: 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контролирующее лицо, фидуциарные обязанности,</w:t>
      </w:r>
      <w:r w:rsidR="009C203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внутренние отношения в корпорации, правоотношение между участниками</w:t>
      </w:r>
      <w:r w:rsidR="009C203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7666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подконтрольной корпорации и контролирующим лицом.</w:t>
      </w:r>
    </w:p>
    <w:p w14:paraId="20F239B2" w14:textId="77777777" w:rsidR="009C2036" w:rsidRDefault="009C203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0F19390E" w14:textId="278699A1" w:rsidR="00527666" w:rsidRPr="0052766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discusses issues of liability of the controlling person to the before participants</w:t>
      </w:r>
      <w:r w:rsidR="009C2036" w:rsidRPr="009C203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of the controlled corporation. The author substantiates the existence of a legal</w:t>
      </w:r>
      <w:r w:rsidR="009C2036" w:rsidRPr="009C203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relationship between the participants of the controlled corporation and the controlling</w:t>
      </w:r>
      <w:r w:rsidR="009C2036" w:rsidRPr="009C203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>person as well as explores its elements.</w:t>
      </w:r>
    </w:p>
    <w:p w14:paraId="0078BB86" w14:textId="77777777" w:rsidR="009C2036" w:rsidRDefault="009C203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09134D4C" w14:textId="22D63B59" w:rsidR="00527666" w:rsidRPr="009C203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27666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controlling person, fiduciary duties, internal relations in the corporation,</w:t>
      </w:r>
      <w:r w:rsidR="009C2036" w:rsidRPr="009C203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legal relation between participants of the controlled corporation and controlling</w:t>
      </w:r>
      <w:r w:rsidR="009C2036" w:rsidRPr="009C203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7666">
        <w:rPr>
          <w:rFonts w:ascii="Times New Roman" w:eastAsia="Newton-Regular" w:hAnsi="Times New Roman" w:cs="Times New Roman"/>
          <w:sz w:val="24"/>
          <w:szCs w:val="24"/>
        </w:rPr>
        <w:t>person.</w:t>
      </w:r>
    </w:p>
    <w:p w14:paraId="11AD1048" w14:textId="77777777" w:rsidR="00B8618C" w:rsidRPr="009C203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303A95" w14:textId="39443614" w:rsidR="00F72381" w:rsidRPr="00DE2B12" w:rsidRDefault="00F72381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2381" w:rsidRPr="00DE2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Bold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012EC"/>
    <w:rsid w:val="00011986"/>
    <w:rsid w:val="00020C44"/>
    <w:rsid w:val="00025DA7"/>
    <w:rsid w:val="00026E75"/>
    <w:rsid w:val="00040FAA"/>
    <w:rsid w:val="00041D9B"/>
    <w:rsid w:val="0004656D"/>
    <w:rsid w:val="000468D5"/>
    <w:rsid w:val="000575A3"/>
    <w:rsid w:val="00060BC5"/>
    <w:rsid w:val="00075C74"/>
    <w:rsid w:val="00094A79"/>
    <w:rsid w:val="000A5630"/>
    <w:rsid w:val="000B11F6"/>
    <w:rsid w:val="000B3344"/>
    <w:rsid w:val="000C368D"/>
    <w:rsid w:val="000D7D1A"/>
    <w:rsid w:val="00117044"/>
    <w:rsid w:val="00121AAA"/>
    <w:rsid w:val="00132FA1"/>
    <w:rsid w:val="00134125"/>
    <w:rsid w:val="001450AB"/>
    <w:rsid w:val="001628F7"/>
    <w:rsid w:val="00163605"/>
    <w:rsid w:val="00186181"/>
    <w:rsid w:val="001B351B"/>
    <w:rsid w:val="001C58F5"/>
    <w:rsid w:val="001F50D3"/>
    <w:rsid w:val="00200B4E"/>
    <w:rsid w:val="00204124"/>
    <w:rsid w:val="0021354D"/>
    <w:rsid w:val="0024680C"/>
    <w:rsid w:val="002554BF"/>
    <w:rsid w:val="002578E0"/>
    <w:rsid w:val="00276CA3"/>
    <w:rsid w:val="002917C7"/>
    <w:rsid w:val="002958C3"/>
    <w:rsid w:val="002972C0"/>
    <w:rsid w:val="002A43EF"/>
    <w:rsid w:val="002C56F1"/>
    <w:rsid w:val="002D15A8"/>
    <w:rsid w:val="002D4A7C"/>
    <w:rsid w:val="002E48E4"/>
    <w:rsid w:val="002F1B6B"/>
    <w:rsid w:val="0031535D"/>
    <w:rsid w:val="00334CF7"/>
    <w:rsid w:val="0035538D"/>
    <w:rsid w:val="00366500"/>
    <w:rsid w:val="00366892"/>
    <w:rsid w:val="00366C5D"/>
    <w:rsid w:val="00395AA1"/>
    <w:rsid w:val="003C1349"/>
    <w:rsid w:val="003C1B4C"/>
    <w:rsid w:val="003C485A"/>
    <w:rsid w:val="003D349C"/>
    <w:rsid w:val="003E028C"/>
    <w:rsid w:val="003F4F93"/>
    <w:rsid w:val="00410E59"/>
    <w:rsid w:val="00412688"/>
    <w:rsid w:val="0041777B"/>
    <w:rsid w:val="00480682"/>
    <w:rsid w:val="00485066"/>
    <w:rsid w:val="004A3297"/>
    <w:rsid w:val="004E0064"/>
    <w:rsid w:val="004E63EA"/>
    <w:rsid w:val="00523270"/>
    <w:rsid w:val="0052501C"/>
    <w:rsid w:val="00527666"/>
    <w:rsid w:val="005379FA"/>
    <w:rsid w:val="00542501"/>
    <w:rsid w:val="00551CB4"/>
    <w:rsid w:val="00551DFF"/>
    <w:rsid w:val="00571F1F"/>
    <w:rsid w:val="005734A5"/>
    <w:rsid w:val="0057765B"/>
    <w:rsid w:val="005826A2"/>
    <w:rsid w:val="00587AC5"/>
    <w:rsid w:val="005B2726"/>
    <w:rsid w:val="005D07A8"/>
    <w:rsid w:val="005E23C8"/>
    <w:rsid w:val="00602221"/>
    <w:rsid w:val="0060720B"/>
    <w:rsid w:val="0062793D"/>
    <w:rsid w:val="00654853"/>
    <w:rsid w:val="006666B4"/>
    <w:rsid w:val="006B0B3F"/>
    <w:rsid w:val="006B354F"/>
    <w:rsid w:val="00700213"/>
    <w:rsid w:val="00702F94"/>
    <w:rsid w:val="007072EB"/>
    <w:rsid w:val="007102D2"/>
    <w:rsid w:val="00711F8E"/>
    <w:rsid w:val="00792819"/>
    <w:rsid w:val="0079686C"/>
    <w:rsid w:val="007B3A7A"/>
    <w:rsid w:val="007C357E"/>
    <w:rsid w:val="007D17F2"/>
    <w:rsid w:val="007D21D4"/>
    <w:rsid w:val="007E660E"/>
    <w:rsid w:val="007F750C"/>
    <w:rsid w:val="00801C25"/>
    <w:rsid w:val="00815CFD"/>
    <w:rsid w:val="00821181"/>
    <w:rsid w:val="008225B5"/>
    <w:rsid w:val="00827557"/>
    <w:rsid w:val="00853D56"/>
    <w:rsid w:val="00885983"/>
    <w:rsid w:val="008A7E3E"/>
    <w:rsid w:val="008D620F"/>
    <w:rsid w:val="00904493"/>
    <w:rsid w:val="00906B38"/>
    <w:rsid w:val="009151F1"/>
    <w:rsid w:val="00932E66"/>
    <w:rsid w:val="00934FCF"/>
    <w:rsid w:val="00967529"/>
    <w:rsid w:val="00975A63"/>
    <w:rsid w:val="00976620"/>
    <w:rsid w:val="0097754B"/>
    <w:rsid w:val="00993E1C"/>
    <w:rsid w:val="009961D9"/>
    <w:rsid w:val="009A7B6B"/>
    <w:rsid w:val="009B5E0D"/>
    <w:rsid w:val="009C2036"/>
    <w:rsid w:val="009E2CF3"/>
    <w:rsid w:val="00A15428"/>
    <w:rsid w:val="00A252D7"/>
    <w:rsid w:val="00AA12D9"/>
    <w:rsid w:val="00AA738C"/>
    <w:rsid w:val="00AA7723"/>
    <w:rsid w:val="00AD264E"/>
    <w:rsid w:val="00B138A6"/>
    <w:rsid w:val="00B33674"/>
    <w:rsid w:val="00B524F9"/>
    <w:rsid w:val="00B5284B"/>
    <w:rsid w:val="00B537D9"/>
    <w:rsid w:val="00B560CC"/>
    <w:rsid w:val="00B617CA"/>
    <w:rsid w:val="00B61BE9"/>
    <w:rsid w:val="00B8618C"/>
    <w:rsid w:val="00BB7690"/>
    <w:rsid w:val="00BC0727"/>
    <w:rsid w:val="00BD1558"/>
    <w:rsid w:val="00BF0337"/>
    <w:rsid w:val="00BF432B"/>
    <w:rsid w:val="00BF516C"/>
    <w:rsid w:val="00BF555A"/>
    <w:rsid w:val="00C22AE6"/>
    <w:rsid w:val="00C41462"/>
    <w:rsid w:val="00C520B7"/>
    <w:rsid w:val="00C77EE3"/>
    <w:rsid w:val="00C83DCB"/>
    <w:rsid w:val="00CA0B9E"/>
    <w:rsid w:val="00CB53A7"/>
    <w:rsid w:val="00CE5D22"/>
    <w:rsid w:val="00CF5C46"/>
    <w:rsid w:val="00D2331A"/>
    <w:rsid w:val="00D369A1"/>
    <w:rsid w:val="00DB141C"/>
    <w:rsid w:val="00DC3BFC"/>
    <w:rsid w:val="00DD4AFC"/>
    <w:rsid w:val="00DD59ED"/>
    <w:rsid w:val="00DE243F"/>
    <w:rsid w:val="00DE2B12"/>
    <w:rsid w:val="00DE552A"/>
    <w:rsid w:val="00E04B00"/>
    <w:rsid w:val="00E0538C"/>
    <w:rsid w:val="00E062CF"/>
    <w:rsid w:val="00E21BE2"/>
    <w:rsid w:val="00E4785A"/>
    <w:rsid w:val="00E75850"/>
    <w:rsid w:val="00E817FC"/>
    <w:rsid w:val="00EA31FB"/>
    <w:rsid w:val="00EA7167"/>
    <w:rsid w:val="00EB62E4"/>
    <w:rsid w:val="00EC3860"/>
    <w:rsid w:val="00EE0745"/>
    <w:rsid w:val="00F03D72"/>
    <w:rsid w:val="00F05828"/>
    <w:rsid w:val="00F26231"/>
    <w:rsid w:val="00F33421"/>
    <w:rsid w:val="00F4097D"/>
    <w:rsid w:val="00F40F87"/>
    <w:rsid w:val="00F43719"/>
    <w:rsid w:val="00F60067"/>
    <w:rsid w:val="00F66A22"/>
    <w:rsid w:val="00F72381"/>
    <w:rsid w:val="00FA2E1E"/>
    <w:rsid w:val="00FB4CA7"/>
    <w:rsid w:val="00FB7488"/>
    <w:rsid w:val="00FC141E"/>
    <w:rsid w:val="00FD6F0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19C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F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4</cp:revision>
  <dcterms:created xsi:type="dcterms:W3CDTF">2020-07-28T03:35:00Z</dcterms:created>
  <dcterms:modified xsi:type="dcterms:W3CDTF">2020-07-28T04:04:00Z</dcterms:modified>
</cp:coreProperties>
</file>