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E433" w14:textId="756D7EBA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14:paraId="4F654913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14:paraId="7BB141DA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14:paraId="5A38543C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14:paraId="3E046E5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14:paraId="4B0AED8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483F84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</w:t>
      </w:r>
      <w:proofErr w:type="gramEnd"/>
      <w:r w:rsidRPr="00F4097D">
        <w:rPr>
          <w:rFonts w:ascii="Times New Roman" w:hAnsi="Times New Roman" w:cs="Times New Roman"/>
          <w:sz w:val="24"/>
          <w:szCs w:val="24"/>
          <w:lang w:val="ru-RU"/>
        </w:rPr>
        <w:t xml:space="preserve"> один раз в два месяца</w:t>
      </w:r>
    </w:p>
    <w:p w14:paraId="57B9B079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B4062D" w14:textId="475046BE" w:rsidR="005379FA" w:rsidRDefault="009B5E0D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D2331A">
        <w:rPr>
          <w:rFonts w:ascii="Times New Roman" w:hAnsi="Times New Roman" w:cs="Times New Roman"/>
          <w:b/>
          <w:sz w:val="24"/>
          <w:szCs w:val="24"/>
        </w:rPr>
        <w:t>2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20</w:t>
      </w:r>
      <w:r w:rsidR="001F50D3">
        <w:rPr>
          <w:rFonts w:ascii="Times New Roman" w:hAnsi="Times New Roman" w:cs="Times New Roman"/>
          <w:b/>
          <w:sz w:val="24"/>
          <w:szCs w:val="24"/>
        </w:rPr>
        <w:t>20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</w:t>
      </w:r>
      <w:r w:rsidR="00D2331A">
        <w:rPr>
          <w:rFonts w:ascii="Times New Roman" w:hAnsi="Times New Roman" w:cs="Times New Roman"/>
          <w:b/>
          <w:sz w:val="24"/>
          <w:szCs w:val="24"/>
          <w:lang w:val="ru-RU"/>
        </w:rPr>
        <w:t>март</w:t>
      </w:r>
      <w:r w:rsidR="00366500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D2331A">
        <w:rPr>
          <w:rFonts w:ascii="Times New Roman" w:hAnsi="Times New Roman" w:cs="Times New Roman"/>
          <w:b/>
          <w:sz w:val="24"/>
          <w:szCs w:val="24"/>
          <w:lang w:val="ru-RU"/>
        </w:rPr>
        <w:t>апрель</w:t>
      </w:r>
    </w:p>
    <w:p w14:paraId="76E70DAE" w14:textId="1904CF1D" w:rsidR="001F50D3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11EDEC" w14:textId="38AAA218" w:rsidR="00D2331A" w:rsidRPr="00821181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А.К.</w:t>
      </w:r>
      <w:proofErr w:type="gramEnd"/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Голиченков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доктор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юридических наук, профессор, заслуженный</w:t>
      </w:r>
      <w:r w:rsidR="00821181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деятель науки РФ, член-корреспондент Российской академии образования, декан юридического факультета МГУ</w:t>
      </w:r>
      <w:r w:rsidRPr="00FF7A2E">
        <w:rPr>
          <w:rFonts w:ascii="Times New Roman" w:eastAsia="Newton-Regular" w:hAnsi="Times New Roman" w:cs="Times New Roman"/>
          <w:color w:val="FFFFFF"/>
          <w:sz w:val="24"/>
          <w:szCs w:val="24"/>
          <w:lang w:val="ru-RU"/>
        </w:rPr>
        <w:t>1</w:t>
      </w:r>
    </w:p>
    <w:p w14:paraId="007AD068" w14:textId="293D8882" w:rsidR="00D2331A" w:rsidRPr="00821181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М.В.</w:t>
      </w:r>
      <w:proofErr w:type="gramEnd"/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Воронин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кандидат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юридических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наук, доцент, доцент кафедры</w:t>
      </w:r>
      <w:r w:rsidR="00821181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теории государства и права и политологии юридического факультета</w:t>
      </w:r>
      <w:r w:rsidR="00821181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МГУ</w:t>
      </w:r>
      <w:r w:rsidRPr="00FF7A2E">
        <w:rPr>
          <w:rFonts w:ascii="Times New Roman" w:eastAsia="Newton-Regular" w:hAnsi="Times New Roman" w:cs="Times New Roman"/>
          <w:color w:val="FFFFFF"/>
          <w:sz w:val="24"/>
          <w:szCs w:val="24"/>
          <w:lang w:val="ru-RU"/>
        </w:rPr>
        <w:t>2</w:t>
      </w:r>
    </w:p>
    <w:p w14:paraId="6355E8F7" w14:textId="73629D68" w:rsidR="00D2331A" w:rsidRPr="00821181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Н.А.</w:t>
      </w:r>
      <w:proofErr w:type="gramEnd"/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Есипов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директор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развитию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ООО «Центр разработки мультимедийных материалов»</w:t>
      </w:r>
      <w:r w:rsidRPr="00FF7A2E">
        <w:rPr>
          <w:rFonts w:ascii="Times New Roman" w:eastAsia="Newton-Regular" w:hAnsi="Times New Roman" w:cs="Times New Roman"/>
          <w:color w:val="FFFFFF"/>
          <w:sz w:val="24"/>
          <w:szCs w:val="24"/>
          <w:lang w:val="ru-RU"/>
        </w:rPr>
        <w:t>3</w:t>
      </w:r>
    </w:p>
    <w:p w14:paraId="45707D7F" w14:textId="77777777" w:rsidR="00821181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18AA163" w14:textId="354D2FE7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Создание цифровой образовательной среды</w:t>
      </w:r>
      <w:r w:rsidR="0082118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юридического вуза (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на материалах юридического</w:t>
      </w:r>
      <w:r w:rsidR="0082118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факультета МГУ имени М. В.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Ломоносова</w:t>
      </w:r>
      <w:proofErr w:type="spellEnd"/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6DC6817D" w14:textId="77777777" w:rsidR="00821181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2FF5C200" w14:textId="5FA0DB92" w:rsidR="00821181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В статье предложен </w:t>
      </w:r>
      <w:r w:rsidRPr="00DE2B12">
        <w:rPr>
          <w:rFonts w:ascii="Times New Roman" w:eastAsia="Newton-BoldItalic" w:hAnsi="Times New Roman" w:cs="Times New Roman"/>
          <w:i/>
          <w:iCs/>
          <w:color w:val="000000"/>
          <w:sz w:val="24"/>
          <w:szCs w:val="24"/>
          <w:lang w:val="ru-RU"/>
        </w:rPr>
        <w:t xml:space="preserve">возможный </w:t>
      </w:r>
      <w:proofErr w:type="spellStart"/>
      <w:r w:rsidRPr="00DE2B12">
        <w:rPr>
          <w:rFonts w:ascii="Times New Roman" w:eastAsia="Newton-BoldItalic" w:hAnsi="Times New Roman" w:cs="Times New Roman"/>
          <w:i/>
          <w:iCs/>
          <w:color w:val="000000"/>
          <w:sz w:val="24"/>
          <w:szCs w:val="24"/>
          <w:lang w:val="ru-RU"/>
        </w:rPr>
        <w:t>подход</w:t>
      </w:r>
      <w:proofErr w:type="spellEnd"/>
      <w:r w:rsidRPr="00DE2B12">
        <w:rPr>
          <w:rFonts w:ascii="Times New Roman" w:eastAsia="Newton-BoldItalic" w:hAnsi="Times New Roman" w:cs="Times New Roman"/>
          <w:i/>
          <w:iCs/>
          <w:color w:val="000000"/>
          <w:sz w:val="24"/>
          <w:szCs w:val="24"/>
          <w:lang w:val="ru-RU"/>
        </w:rPr>
        <w:t xml:space="preserve"> к созданию 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цифровой образовательной среды (далее также — ЦОС), а именно методические и технологические перспективы развития цифрового образовательного пространства юриди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ческого вуза/факультета, рассмотренные сквозь призму </w:t>
      </w:r>
      <w:r w:rsidRPr="00DE2B12">
        <w:rPr>
          <w:rFonts w:ascii="Times New Roman" w:eastAsia="Newton-BoldItalic" w:hAnsi="Times New Roman" w:cs="Times New Roman"/>
          <w:i/>
          <w:iCs/>
          <w:sz w:val="24"/>
          <w:szCs w:val="24"/>
          <w:lang w:val="ru-RU"/>
        </w:rPr>
        <w:t>критериев качества</w:t>
      </w:r>
      <w:r w:rsidR="00821181" w:rsidRPr="00DE2B1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DE2B12">
        <w:rPr>
          <w:rFonts w:ascii="Times New Roman" w:eastAsia="Newton-BoldItalic" w:hAnsi="Times New Roman" w:cs="Times New Roman"/>
          <w:i/>
          <w:iCs/>
          <w:sz w:val="24"/>
          <w:szCs w:val="24"/>
          <w:lang w:val="ru-RU"/>
        </w:rPr>
        <w:t>юридического образования</w:t>
      </w:r>
      <w:r w:rsidRPr="00DE2B12">
        <w:rPr>
          <w:rFonts w:ascii="Times New Roman" w:eastAsia="Newton-Italic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Приводится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E2B12">
        <w:rPr>
          <w:rFonts w:ascii="Times New Roman" w:eastAsia="Newton-BoldItalic" w:hAnsi="Times New Roman" w:cs="Times New Roman"/>
          <w:i/>
          <w:iCs/>
          <w:sz w:val="24"/>
          <w:szCs w:val="24"/>
          <w:lang w:val="ru-RU"/>
        </w:rPr>
        <w:t>ключевое определение</w:t>
      </w: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цифровой образовательной среды, выработанное в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процессе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методической работы по подготовке приоритетного проекта «Цифровая образовательная среда Юридического</w:t>
      </w:r>
      <w:r w:rsidR="00821181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факультета МГУ имени М. В.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Ломоносова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» (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далее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также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—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Проект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) в 2019 —начале 2020 г.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Рассмотрены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E2B12">
        <w:rPr>
          <w:rFonts w:ascii="Times New Roman" w:eastAsia="Newton-BoldItalic" w:hAnsi="Times New Roman" w:cs="Times New Roman"/>
          <w:i/>
          <w:iCs/>
          <w:sz w:val="24"/>
          <w:szCs w:val="24"/>
          <w:lang w:val="ru-RU"/>
        </w:rPr>
        <w:t>базовые</w:t>
      </w:r>
      <w:proofErr w:type="spellEnd"/>
      <w:r w:rsidRPr="00DE2B12">
        <w:rPr>
          <w:rFonts w:ascii="Times New Roman" w:eastAsia="Newton-Bold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E2B12">
        <w:rPr>
          <w:rFonts w:ascii="Times New Roman" w:eastAsia="Newton-BoldItalic" w:hAnsi="Times New Roman" w:cs="Times New Roman"/>
          <w:i/>
          <w:iCs/>
          <w:sz w:val="24"/>
          <w:szCs w:val="24"/>
          <w:lang w:val="ru-RU"/>
        </w:rPr>
        <w:t>принципы</w:t>
      </w:r>
      <w:proofErr w:type="spellEnd"/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разработки и реализации этого</w:t>
      </w:r>
      <w:r w:rsidR="00821181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Проекта: принцип эволюционного изменения образовательной среды, принцип</w:t>
      </w:r>
      <w:r w:rsidR="00821181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поэтапного развития ЦОС, принцип автоматизации образовательного процесса.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Дана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характеристика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этапа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пилотного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внедрения компонентов ЦОС в</w:t>
      </w:r>
      <w:r w:rsidR="00821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рамках реализации Проекта, проанализированы особенности масштабирования</w:t>
      </w:r>
      <w:r w:rsidR="00821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 развития ЦОС. Представлены количественные показатели дистанционного</w:t>
      </w:r>
      <w:r w:rsidR="00821181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преподавания на юридическом факультете МГУ (далее также — юридический</w:t>
      </w:r>
      <w:r w:rsidR="00821181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факультет, факультет) в условиях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пандемии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которые могут быть охарактеризованы как «экстренная доставка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учебного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контента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».</w:t>
      </w: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14:paraId="27E7B365" w14:textId="77777777" w:rsidR="00DE2B12" w:rsidRDefault="00DE2B1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25319AD9" w14:textId="3AB409C6" w:rsidR="00D2331A" w:rsidRPr="00821181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цифровая образовательная среда юридического вуза/факультета, электронное обучение, система </w:t>
      </w:r>
      <w:proofErr w:type="spellStart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дистанционного</w:t>
      </w:r>
      <w:proofErr w:type="spellEnd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обучения</w:t>
      </w:r>
      <w:proofErr w:type="spellEnd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4B3C1C0D" w14:textId="77777777" w:rsidR="00821181" w:rsidRPr="00DE2B12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0B92BB36" w14:textId="0E68700D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suggests a possible approach to creating a digital educational environment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(hereinafter also referred to as DSP), namely, the methodological and technological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prospects for the development of the digital educational space of a law university /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faculty, examined through the prism of the criteria for the quality of legal education. The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key definition of the digital educational environment, developed during the methodological work on the preparation of the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lastRenderedPageBreak/>
        <w:t>priority project “Digital Educational Environment of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the Law Faculty of the Moscow State University named after M. V. Lomonosov” (also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referred to as the Project) in 2019 — early 2020. The basic principles of the development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and implementation of this Project are considered: the principle of evolutionary changes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in the educational environment, the principle of the gradual development of DSP, the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principle of automation of the educational process. The characteristic of the stage of the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pilot implementation of the DSP components within the framework of the Project is given,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the features of scaling and development of the DSP are analyzed. Quantitative indicators</w:t>
      </w:r>
    </w:p>
    <w:p w14:paraId="6573ED65" w14:textId="235645CE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of distance learning are presented at the Law Faculty of Moscow State University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(hereinafter also referred to as the Faculty of Law, Faculty) in a pandemic, which can be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described as «emergency delivery of educational content».</w:t>
      </w:r>
    </w:p>
    <w:p w14:paraId="5B2F253A" w14:textId="77777777" w:rsidR="00DE2B12" w:rsidRDefault="00DE2B1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198A1382" w14:textId="39144F33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digital educational environment of a law university/faculty, e-learning,</w:t>
      </w:r>
      <w:r w:rsidR="00821181" w:rsidRPr="0082118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distance learning system.</w:t>
      </w:r>
    </w:p>
    <w:p w14:paraId="576A1182" w14:textId="77777777" w:rsidR="00821181" w:rsidRPr="00DE2B12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02A2568E" w14:textId="639F4811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Проблемы конституционного</w:t>
      </w:r>
      <w:r w:rsidR="00821181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и муниципального права</w:t>
      </w:r>
    </w:p>
    <w:p w14:paraId="2AC3AE69" w14:textId="77777777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2E7F8BF" w14:textId="77777777" w:rsidR="00821181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FF7A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С.А. </w:t>
      </w:r>
      <w:proofErr w:type="spellStart"/>
      <w:r w:rsidRPr="00FF7A2E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Авакьян</w:t>
      </w:r>
      <w:proofErr w:type="spellEnd"/>
      <w:r w:rsidRPr="00FF7A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доктор юридических наук, профессор, заслуженный деятель науки РФ, заслуженный юрист РФ, заведующий кафедрой конституционного и муниципального права юридического факультета МГУ</w:t>
      </w:r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050F288" w14:textId="77777777" w:rsidR="00821181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0CC9E8FE" w14:textId="7488D740" w:rsidR="00D2331A" w:rsidRPr="00821181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Обеспечение прав и свобод граждан</w:t>
      </w:r>
      <w:r w:rsidR="00821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в контексте совершенствования</w:t>
      </w:r>
      <w:r w:rsidR="00821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2118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избирательного законодательства</w:t>
      </w:r>
    </w:p>
    <w:p w14:paraId="381A69A8" w14:textId="77777777" w:rsidR="00821181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087D30C8" w14:textId="1B349228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Совершенствование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избирательного законодательства является важным</w:t>
      </w:r>
      <w:r w:rsidR="00821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направлением модификации законодательства страны в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целом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Это многоцелевое движение, его ключевыми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моментами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являются и улучшение непосредственно избирательного процесса, и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содействие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реализации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многих прав и свобод</w:t>
      </w:r>
      <w:r w:rsidR="00821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граждан.</w:t>
      </w:r>
    </w:p>
    <w:p w14:paraId="513A8B90" w14:textId="77777777" w:rsidR="00821181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343A0885" w14:textId="473CA5D0" w:rsidR="00D2331A" w:rsidRPr="00821181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права и свободы человека и гражданина, избирательное</w:t>
      </w:r>
      <w:r w:rsidR="00821181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821181">
        <w:rPr>
          <w:rFonts w:ascii="Times New Roman" w:eastAsia="Newton-Regular" w:hAnsi="Times New Roman" w:cs="Times New Roman"/>
          <w:sz w:val="24"/>
          <w:szCs w:val="24"/>
          <w:lang w:val="ru-RU"/>
        </w:rPr>
        <w:t>право, избирательный процесс, совершенствование.</w:t>
      </w:r>
    </w:p>
    <w:p w14:paraId="54EA20B3" w14:textId="77777777" w:rsidR="00821181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057C98DD" w14:textId="61DD2CB0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Improvement of electoral legislation is an important direction of changing the national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legislation in general. It is a multi-purpose </w:t>
      </w:r>
      <w:proofErr w:type="gram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initiative,</w:t>
      </w:r>
      <w:proofErr w:type="gram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its key points are both improvement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of the electoral process itself and promotion of large-scale realization of many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rights and freedoms of citizens.</w:t>
      </w:r>
    </w:p>
    <w:p w14:paraId="43D22D9D" w14:textId="77777777" w:rsidR="00821181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0BA84277" w14:textId="5BFA9703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human and civil rights and freedoms, electoral law, electoral process,</w:t>
      </w:r>
      <w:r w:rsidR="00821181" w:rsidRPr="0082118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improvement.</w:t>
      </w:r>
    </w:p>
    <w:p w14:paraId="4B4C1E57" w14:textId="77777777" w:rsidR="00821181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40724564" w14:textId="37802D06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proofErr w:type="spellStart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Вопросы</w:t>
      </w:r>
      <w:proofErr w:type="spellEnd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криминалистики</w:t>
      </w:r>
      <w:proofErr w:type="spellEnd"/>
    </w:p>
    <w:p w14:paraId="7C4F4109" w14:textId="77777777" w:rsidR="00821181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09241CB5" w14:textId="270C0B90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Е.Е. Центров,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доктор юридических наук, заслуженный профессор МГУ,</w:t>
      </w:r>
      <w:r w:rsidR="00821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профессор кафедры криминалистики юридического факультета МГУ</w:t>
      </w:r>
    </w:p>
    <w:p w14:paraId="4F747CC7" w14:textId="77777777" w:rsidR="00821181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348E93C5" w14:textId="07B024AB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Признание обвиняемым своей вины при</w:t>
      </w:r>
      <w:r w:rsidR="0082118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отграничении его от вопросов</w:t>
      </w:r>
      <w:r w:rsidR="00DE2B1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и действий наводящего характера</w:t>
      </w:r>
    </w:p>
    <w:p w14:paraId="27CA9007" w14:textId="77777777" w:rsidR="00821181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55BDF672" w14:textId="2395679B" w:rsidR="00571F1F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lastRenderedPageBreak/>
        <w:t xml:space="preserve">В статье рассматривается влияние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наводящего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вопроса на признание обвиняемым своей вины.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этом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наводящий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вопрос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понимается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не только в обычном</w:t>
      </w:r>
      <w:r w:rsidR="00821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традиционном смысле как вопрос, в котором содержится информация, подсказывающая ответ. В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более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широком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смысле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это вопрос, сопровождающий использование любой информации, предъявление доказательств, сообщение фактических</w:t>
      </w:r>
      <w:r w:rsidR="00821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сведений в различных ситуациях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расследования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Он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подталкивает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обусловлива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-</w:t>
      </w:r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сведений</w:t>
      </w:r>
      <w:proofErr w:type="spellEnd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различных</w:t>
      </w:r>
      <w:proofErr w:type="spellEnd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ситуациях</w:t>
      </w:r>
      <w:proofErr w:type="spellEnd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расследования</w:t>
      </w:r>
      <w:proofErr w:type="spellEnd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Он подталкивает, обусловливает, наводит на определенный </w:t>
      </w:r>
      <w:proofErr w:type="spellStart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ответ</w:t>
      </w:r>
      <w:proofErr w:type="spellEnd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Введение понятия «условно-наводящий вопрос» позволяет отграничивать информацию и </w:t>
      </w:r>
      <w:proofErr w:type="spellStart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действия</w:t>
      </w:r>
      <w:proofErr w:type="spellEnd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наводящего</w:t>
      </w:r>
      <w:proofErr w:type="spellEnd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характера</w:t>
      </w:r>
      <w:proofErr w:type="spellEnd"/>
      <w:r w:rsidR="00571F1F"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64E6CFDC" w14:textId="77777777" w:rsidR="00821181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1688DD10" w14:textId="34D5F120" w:rsidR="00571F1F" w:rsidRPr="00821181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наводящий вопрос, условно-наводящий вопрос, допрос, доказательства, признание своей вины, самооговор, проверка показа</w:t>
      </w:r>
      <w:r w:rsidRPr="00821181">
        <w:rPr>
          <w:rFonts w:ascii="Times New Roman" w:eastAsia="Newton-Regular" w:hAnsi="Times New Roman" w:cs="Times New Roman"/>
          <w:sz w:val="24"/>
          <w:szCs w:val="24"/>
          <w:lang w:val="ru-RU"/>
        </w:rPr>
        <w:t>ний на месте.</w:t>
      </w:r>
    </w:p>
    <w:p w14:paraId="4A632E21" w14:textId="77777777" w:rsidR="00821181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55CEDA2E" w14:textId="5A714623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deals with the influence of the leading question on the confession. The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leading question, however, is not only understood in the traditional sense of the term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as a question that contains information that prompts the answer. More broadly, it is a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matter that accompanies the use of any information of evidence, the reporting of </w:t>
      </w:r>
      <w:proofErr w:type="gram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factual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information</w:t>
      </w:r>
      <w:proofErr w:type="gram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in various investigative situations. This question leads to a certain answer.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Introduction of the concept of “probability-oriented question” allows to differentiate between</w:t>
      </w:r>
      <w:r w:rsidR="00821181" w:rsidRPr="00821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information and actions of a leading nature.</w:t>
      </w:r>
    </w:p>
    <w:p w14:paraId="026C1304" w14:textId="77777777" w:rsidR="00821181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7DEB3D21" w14:textId="43D35E4B" w:rsidR="00D2331A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leading question, conditionally leading question, interrogation, evidence,</w:t>
      </w:r>
      <w:r w:rsidR="00821181" w:rsidRPr="0082118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confession, self-incrimination, on-site verification.</w:t>
      </w:r>
    </w:p>
    <w:p w14:paraId="766C80F3" w14:textId="77777777" w:rsidR="00821181" w:rsidRDefault="00821181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F1F89B5" w14:textId="5607208B" w:rsidR="00571F1F" w:rsidRPr="00821181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М.Ш. </w:t>
      </w:r>
      <w:proofErr w:type="spellStart"/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Махтаев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доктор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юридических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наук, профессор кафедры криминалистики юридического факультета МГУ</w:t>
      </w:r>
      <w:r w:rsidRPr="00FF7A2E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10</w:t>
      </w:r>
    </w:p>
    <w:p w14:paraId="2450CBB1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6D999B" w14:textId="6CD21210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 вопросу о противодействии расследованию</w:t>
      </w:r>
      <w:r w:rsidR="005826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преступлений со стороны адвоката</w:t>
      </w:r>
    </w:p>
    <w:p w14:paraId="74AA9FDB" w14:textId="77777777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(защитника)</w:t>
      </w:r>
    </w:p>
    <w:p w14:paraId="2A521142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467C6CEF" w14:textId="1A663DE9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В статье раскрывается понятие «противодействие расследованию преступлений», обосновывается вывод, что противодействие расследованию преступлений со стороны адвокатов (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защитников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)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не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может быть законным, вопреки мнению ряда известных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криминалистов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, которые полагают, что такое</w:t>
      </w:r>
      <w:r w:rsidR="005826A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противодействие может быть и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законным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14:paraId="47A4A4F7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14:paraId="3B9ED329" w14:textId="0DA52278" w:rsidR="00571F1F" w:rsidRPr="005826A2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FF7A2E"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Ключевые слова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: </w:t>
      </w:r>
      <w:r w:rsidRPr="00FF7A2E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противодействие расследованию преступлений, адвокат (защитник), преодоление противодействия, воспрепятствование незаконной деятельности следователя и дознавателя, права адвоката-защитника</w:t>
      </w:r>
      <w:r w:rsidR="005826A2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26A2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в уголовном процессе.</w:t>
      </w:r>
    </w:p>
    <w:p w14:paraId="029781B7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4B100140" w14:textId="6574A8F2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reveals the concept of “counteraction to the investigation of crimes”,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justifies the conclusion that counteraction to the investigation of crimes by lawyers (defenders)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cannot be legal contrary to the opinion of a number of well-known criminalists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who believe that such counteraction can be legal.</w:t>
      </w:r>
    </w:p>
    <w:p w14:paraId="69E32CC5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7E243700" w14:textId="2FCF613A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lastRenderedPageBreak/>
        <w:t xml:space="preserve">Keywords: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counteraction to investigation of crimes, lawyer (defender), overcoming</w:t>
      </w:r>
      <w:r w:rsidR="005826A2" w:rsidRPr="005826A2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counteraction, obstruction of illegal activity of the investigator and the interrogator,</w:t>
      </w:r>
      <w:r w:rsidR="005826A2" w:rsidRPr="005826A2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rights of the lawyer-defender in criminal process.</w:t>
      </w:r>
    </w:p>
    <w:p w14:paraId="246B4FCC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E72E198" w14:textId="5FB755FE" w:rsidR="00571F1F" w:rsidRPr="005826A2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Е.С.</w:t>
      </w:r>
      <w:proofErr w:type="gramEnd"/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Крюкова,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ассистент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кафедры криминалистики юридического факультета МГУ</w:t>
      </w:r>
      <w:r w:rsidRPr="00FF7A2E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29</w:t>
      </w:r>
    </w:p>
    <w:p w14:paraId="42DB14CF" w14:textId="3EF9B55D" w:rsidR="00571F1F" w:rsidRPr="00FF7A2E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Соотношение</w:t>
      </w:r>
      <w:r w:rsidR="00571F1F"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закономерности</w:t>
      </w:r>
      <w:r w:rsidR="00571F1F"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571F1F"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случайности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</w:t>
      </w:r>
      <w:r w:rsidR="00571F1F"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фокусе</w:t>
      </w:r>
      <w:r w:rsidR="00571F1F"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криминалистики</w:t>
      </w:r>
      <w:r w:rsidR="00571F1F"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="00571F1F"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статья первая</w:t>
      </w:r>
      <w:r w:rsidR="00571F1F" w:rsidRPr="00FF7A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41FC151D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0367A96A" w14:textId="4356D643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В статье рассматриваются диалектическое представление о предмете</w:t>
      </w:r>
      <w:r w:rsidR="005826A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криминалистики, отражение и роль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закономерности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и случайности в раскрытии и расследовании преступлений. Даются определения понятиям «закономерность», «случайность», примеры их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понимания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и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использования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в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науке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. Отмечается, что в криминалистике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случайность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нередко носит негативный смысл,</w:t>
      </w:r>
      <w:r w:rsidR="005826A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воспринимается как хаотичность, непредсказуемость, абсурдность, однако она</w:t>
      </w:r>
      <w:r w:rsidR="005826A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может нести и положительное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значение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когда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случайность «играет» в пользу</w:t>
      </w:r>
      <w:r w:rsidR="005826A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следствия и предоставляет следователю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некую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свободу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выбора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14:paraId="7B9CA512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14:paraId="012622E1" w14:textId="292850DE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FF7A2E"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Ключевые слова: </w:t>
      </w:r>
      <w:r w:rsidRPr="00FF7A2E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криминалистика, предмет криминалистики, </w:t>
      </w:r>
      <w:proofErr w:type="gramStart"/>
      <w:r w:rsidRPr="00FF7A2E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Р.С.</w:t>
      </w:r>
      <w:proofErr w:type="gramEnd"/>
      <w:r w:rsidRPr="00FF7A2E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 Белкин, закономерность, необходимость, случайность, </w:t>
      </w:r>
      <w:proofErr w:type="spellStart"/>
      <w:r w:rsidRPr="00FF7A2E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индивидуальность</w:t>
      </w:r>
      <w:proofErr w:type="spellEnd"/>
      <w:r w:rsidRPr="00FF7A2E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.</w:t>
      </w:r>
    </w:p>
    <w:p w14:paraId="141A24F8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40B2805E" w14:textId="2299E466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discusses the dialectical representation of the subject of forensic science,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the reflection and role of consistent patterns and contingency in the disclosure and investigation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of crimes. Definitions are given to the concepts of “consistent patterns”, “contingency”,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examples of their understanding and use in science. It is noted that in forensics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randomness often has a negative meaning, it is perceived as randomness, unpredictability,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absurdity, but it can also have a positive meaning when randomness “plays” in favor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of the investigation and provides the investigator with some freedom of choice.</w:t>
      </w:r>
    </w:p>
    <w:p w14:paraId="0145F2CA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09A33805" w14:textId="60DA51C3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criminalistics, forensic science, subject of criminalistics, R.S. Belkin,</w:t>
      </w:r>
      <w:r w:rsidR="005826A2" w:rsidRPr="005826A2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regularity, necessity, contingency, individuality.</w:t>
      </w:r>
    </w:p>
    <w:p w14:paraId="5FF32C26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20B6EB5C" w14:textId="65FE534E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FF7A2E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Проблемы экологического</w:t>
      </w:r>
      <w:r w:rsidR="005826A2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и земельного права</w:t>
      </w:r>
    </w:p>
    <w:p w14:paraId="603E512D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613ED07" w14:textId="0C2F7731" w:rsidR="00571F1F" w:rsidRPr="005826A2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FF7A2E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И.А.</w:t>
      </w:r>
      <w:proofErr w:type="gramEnd"/>
      <w:r w:rsidRPr="00FF7A2E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Игнатьева, </w:t>
      </w:r>
      <w:r w:rsidRPr="00FF7A2E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доктор юридических наук, профессор кафедры экологического и земельного права юридического факультета МГУ</w:t>
      </w:r>
      <w:r w:rsidRPr="00FF7A2E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37</w:t>
      </w:r>
    </w:p>
    <w:p w14:paraId="6CD39607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8D76F0F" w14:textId="17F47ABB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FF7A2E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Особенности правового регулирования</w:t>
      </w:r>
      <w:r w:rsidR="005826A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общественного контроля</w:t>
      </w:r>
      <w:r w:rsidR="005826A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в области обращения с отходами</w:t>
      </w:r>
    </w:p>
    <w:p w14:paraId="5B126265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534FDA2A" w14:textId="0B7B5A43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 статье рассматривается правовая сущность общественного контроля в</w:t>
      </w:r>
      <w:r w:rsidR="005826A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области обращения с отходами в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сравнении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 другими видами контрольно-надзорной деятельности, функциями экологического управления, отдельным видом</w:t>
      </w:r>
      <w:r w:rsidR="005826A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общественного контроля — общественным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экологическим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контролем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С формальной и содержательной позиций анализируется связь правового регулирования общественного контроля в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области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обращения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 отходами с правовым регулированием общественного экологического контроля, а также общественного</w:t>
      </w:r>
      <w:r w:rsidR="005826A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контроля в целом.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Нечеткость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правового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lastRenderedPageBreak/>
        <w:t>регулирования в некоторых аспектах</w:t>
      </w:r>
      <w:r w:rsidR="005826A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приводит к невозможности однозначного определения случаев, когда отношения</w:t>
      </w:r>
      <w:r w:rsidR="005826A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части осуществления общественного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контроля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области обращения с отходами регулируются с учетом особенностей, установленных в законодательстве</w:t>
      </w:r>
      <w:r w:rsidR="005826A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 охране окружающей среды. Законодательство об общественном контроле</w:t>
      </w:r>
      <w:r w:rsidR="005826A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может применяться к деятельности,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осуществляемой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рамках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общественного</w:t>
      </w:r>
      <w:proofErr w:type="spellEnd"/>
    </w:p>
    <w:p w14:paraId="4B16180A" w14:textId="4A4C139D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контроля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области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обращения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отходами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за нормативно установленными </w:t>
      </w:r>
      <w:proofErr w:type="spellStart"/>
      <w:proofErr w:type="gram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ис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-</w:t>
      </w:r>
      <w:r w:rsidR="005826A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ключениями</w:t>
      </w:r>
      <w:proofErr w:type="spellEnd"/>
      <w:proofErr w:type="gram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с обязательным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учетом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общих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выводов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науки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экологического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0B6FA227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68711A72" w14:textId="620C0AD8" w:rsidR="00571F1F" w:rsidRPr="005826A2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общественный контроль, общественный контроль в области обращения с отходами, общественный экологический контроль, мо</w:t>
      </w:r>
      <w:r w:rsidRPr="005826A2">
        <w:rPr>
          <w:rFonts w:ascii="Times New Roman" w:eastAsia="Newton-Regular" w:hAnsi="Times New Roman" w:cs="Times New Roman"/>
          <w:sz w:val="24"/>
          <w:szCs w:val="24"/>
          <w:lang w:val="ru-RU"/>
        </w:rPr>
        <w:t>ниторинг, экологическая экспертиза.</w:t>
      </w:r>
    </w:p>
    <w:p w14:paraId="0A99C19A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01560BDF" w14:textId="7ECF75E7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discusses the legal nature of public control in the field of waste management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in 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comparison</w:t>
      </w:r>
      <w:proofErr w:type="gram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with other types of control and supervision activities, environmental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management functions, a separate type of public control — public environmental control.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An analysis of the relationship between the legal regulation of public control in the field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of waste management and the legal regulation of public environmental control, as well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as public control in general, was carried out from a formal and substantive point of view.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The vagueness of legal regulation in some aspects makes it impossible to unambiguously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identify cases where relations regarding the implementation of public control in the field of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waste management are regulated with those features that are established in the legislation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on environmental protection. The legislation on public control can be applied to public</w:t>
      </w: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control in the field of waste management, with normatively established exceptions and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with the obligatory </w:t>
      </w:r>
      <w:proofErr w:type="gram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taking into account</w:t>
      </w:r>
      <w:proofErr w:type="gram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the general conclusions of the science of environmental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law.</w:t>
      </w:r>
    </w:p>
    <w:p w14:paraId="0FB73539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2A8DCF64" w14:textId="40BED44B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>Keywords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: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public control, public control in the field of waste management,</w:t>
      </w:r>
      <w:r w:rsidR="005826A2" w:rsidRPr="005826A2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public environmental control, monitoring, environmental impact assessment.</w:t>
      </w:r>
    </w:p>
    <w:p w14:paraId="69F7CAA6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02807C39" w14:textId="73E3170A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Проблемы международного права</w:t>
      </w:r>
    </w:p>
    <w:p w14:paraId="6E42E462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162A3AD3" w14:textId="0055F893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А.С. Исполинов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, доктор юридических наук</w:t>
      </w:r>
    </w:p>
    <w:p w14:paraId="61F453ED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0708A554" w14:textId="3536869D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Консультативное заключение</w:t>
      </w:r>
      <w:r w:rsidR="005826A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Международного Суда ООН по делу</w:t>
      </w:r>
      <w:r w:rsidR="005826A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об оговорках 1951 г.: взгляд спустя 70 лет</w:t>
      </w:r>
    </w:p>
    <w:p w14:paraId="5CB96335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459857D5" w14:textId="1E48F8D3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статье рассматриваются основные положения Консультативного заключения Международного Суда ООН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делу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оговорках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1951 г. с точки зрения исторического и общего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политико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-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правового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контекста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Автор проводит</w:t>
      </w:r>
      <w:r w:rsidR="005826A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анализ достоинств и недостатков предложенного в Консультативном заключении теста совместимости сделанных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оговорок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объектом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целями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договора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атакже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системы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индивидуального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горизонтального контроля за правомерностью</w:t>
      </w:r>
      <w:r w:rsidR="005826A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заявленных оговорок.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Указывается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что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несмотря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на ставшие очевидными слабые места как самого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теста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так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системы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контроля за оговорками, Консультативное заключение 1951 г.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сих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пор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остается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одним из самых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значительныхдостижений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Суда, кардинально изменившим правовой статус </w:t>
      </w:r>
      <w:r w:rsidR="005826A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оговорок и сделавшее возможным и успешным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процесс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кодификации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международного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3DC2B9C3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33CD3F2F" w14:textId="0034A8A5" w:rsidR="00571F1F" w:rsidRPr="005826A2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 xml:space="preserve">Ключевые слова: </w:t>
      </w:r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Международный Суд ООН, консультативное заключе</w:t>
      </w:r>
      <w:r w:rsidRPr="005826A2">
        <w:rPr>
          <w:rFonts w:ascii="Times New Roman" w:eastAsia="Newton-Regular" w:hAnsi="Times New Roman" w:cs="Times New Roman"/>
          <w:sz w:val="24"/>
          <w:szCs w:val="24"/>
          <w:lang w:val="ru-RU"/>
        </w:rPr>
        <w:t>ние, оговорки, международный договор.</w:t>
      </w:r>
    </w:p>
    <w:p w14:paraId="6720DD18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24D36997" w14:textId="40F8AF58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In the present article the author considers main arguments and conclusions made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by the International Court of Justice in its Advisory Opinion of 1951 in the Reservations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Case from historical perspective as well as general political and legal context. The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analysis performed by the author reveals related advantages as well as drawbacks of the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compatibility test and the system of the horizonal individual control over the reservations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suggested by the Advisory Opinion. The author argues that despite of the obvious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weak points of the suggested test and individual control over the reservations the Advisory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Opinion of 1951 remains one of the most significant achievements of the Court radically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changing the status of the reservations and paving the way to successful codification of</w:t>
      </w:r>
      <w:r w:rsidR="005826A2" w:rsidRPr="005826A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international law.</w:t>
      </w:r>
    </w:p>
    <w:p w14:paraId="7BF5FF31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6E7F3EE2" w14:textId="261D6764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International Court of Justice, advisory opinion, reservations, international</w:t>
      </w:r>
      <w:r w:rsidR="005826A2" w:rsidRPr="005826A2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treaty.</w:t>
      </w:r>
    </w:p>
    <w:p w14:paraId="0BE7BBEA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06EF5AC6" w14:textId="51141EA0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proofErr w:type="spellStart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Наука</w:t>
      </w:r>
      <w:proofErr w:type="spellEnd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право</w:t>
      </w:r>
      <w:proofErr w:type="spellEnd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за</w:t>
      </w:r>
      <w:proofErr w:type="spellEnd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рубежом</w:t>
      </w:r>
      <w:proofErr w:type="spellEnd"/>
    </w:p>
    <w:p w14:paraId="0880ABF8" w14:textId="77777777" w:rsidR="005826A2" w:rsidRDefault="005826A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3F237513" w14:textId="109706CC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gramStart"/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К.Л.</w:t>
      </w:r>
      <w:proofErr w:type="gramEnd"/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Томашевский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, доктор юридических наук, доцент, профессор кафедры гражданско-правовых дисциплин Международного университета «МИТСО»</w:t>
      </w:r>
    </w:p>
    <w:p w14:paraId="646BE690" w14:textId="77777777" w:rsidR="00DE2B12" w:rsidRDefault="00DE2B1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72BA14F8" w14:textId="03999ABB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Реформа Трудового кодекса Республики</w:t>
      </w:r>
      <w:r w:rsidR="00DE2B1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Беларусь 2019–2020 гг. </w:t>
      </w:r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(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концептуальная оценка основных</w:t>
      </w:r>
      <w:r w:rsidR="00DE2B1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нововведений</w:t>
      </w:r>
      <w:r w:rsidRPr="00FF7A2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)</w:t>
      </w:r>
    </w:p>
    <w:p w14:paraId="22FD6017" w14:textId="77777777" w:rsidR="00DE2B12" w:rsidRDefault="00DE2B1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03E5C8D1" w14:textId="137FBEEC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Законом Республики Беларусь «Об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изменении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законов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»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18 июля 2019 г.</w:t>
      </w:r>
      <w:r w:rsidR="00DE2B1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№ 219-З внесены значительные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изменения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дополнения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Трудовой кодекс Республики Беларусь (далее — ТК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Беларуси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). Данные нововведения можно оценивать</w:t>
      </w:r>
      <w:r w:rsidR="00DE2B1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как третью крупную реформу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трудового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законодательства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Указанным Законом</w:t>
      </w:r>
      <w:r w:rsidR="00DE2B1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новую главу ТК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Беларуси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контрактной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системе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найма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на работу были имплементированы нормы из ряда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декретов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указов Президента Республики Беларусь.</w:t>
      </w:r>
      <w:r w:rsidR="00DE2B1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Выявлен ряд коллизий, юридико-технических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ошибок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связанных с принятием Закона, что может привести к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проблемам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практике при применении обновленного ТК Беларуси.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Авторами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высказываются предложения по совершенствованию трудового законодательства Беларуси. Проводится сравнение с трудовым</w:t>
      </w:r>
      <w:r w:rsidR="00DE2B1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законодательством Российской Федерации.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Сделан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вывод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что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белорусский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-</w:t>
      </w:r>
    </w:p>
    <w:p w14:paraId="6319173E" w14:textId="005830A3" w:rsidR="00571F1F" w:rsidRPr="00DE2B12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конодатель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подошел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к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реформе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Трудового</w:t>
      </w:r>
      <w:proofErr w:type="spell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кодекса без достаточного концепту</w:t>
      </w:r>
      <w:r w:rsidRPr="00DE2B1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ального осмысления.</w:t>
      </w:r>
    </w:p>
    <w:p w14:paraId="291D7E7A" w14:textId="77777777" w:rsidR="00DE2B12" w:rsidRDefault="00DE2B1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61E2D4E0" w14:textId="4F6851D2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proofErr w:type="spellStart"/>
      <w:r w:rsidRPr="00DE2B12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  <w:lang w:val="ru-RU"/>
        </w:rPr>
        <w:t>Ключевые</w:t>
      </w:r>
      <w:proofErr w:type="spellEnd"/>
      <w:r w:rsidRPr="00DE2B12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E2B12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  <w:lang w:val="ru-RU"/>
        </w:rPr>
        <w:t>слова</w:t>
      </w:r>
      <w:proofErr w:type="spellEnd"/>
      <w:r w:rsidRPr="00DE2B12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Трудовой</w:t>
      </w:r>
      <w:proofErr w:type="spellEnd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кодекс</w:t>
      </w:r>
      <w:proofErr w:type="spellEnd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реформа, трудовая функция, трудовой договор, контракт, прием </w:t>
      </w:r>
      <w:proofErr w:type="spellStart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на</w:t>
      </w:r>
      <w:proofErr w:type="spellEnd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работу, перевод, изменение существенных</w:t>
      </w:r>
      <w:r w:rsidR="00DE2B12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условий труда, увольнение, дистанционный </w:t>
      </w:r>
      <w:proofErr w:type="spellStart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труд</w:t>
      </w:r>
      <w:proofErr w:type="spellEnd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дистанционный</w:t>
      </w:r>
      <w:proofErr w:type="spellEnd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работник</w:t>
      </w:r>
      <w:proofErr w:type="spellEnd"/>
      <w:r w:rsidRPr="00FF7A2E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592BF0BF" w14:textId="77777777" w:rsidR="00DE2B12" w:rsidRDefault="00DE2B1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1A22EF8B" w14:textId="355D6E2B" w:rsidR="00571F1F" w:rsidRPr="00FF7A2E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The law of the Republic of Belarus “on amendments to laws” dated July 18, 2019</w:t>
      </w:r>
      <w:r w:rsidR="00DE2B12" w:rsidRPr="00DE2B1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No. 219-Z introduced significant changes and additions to the Labor code of the Republic</w:t>
      </w:r>
      <w:r w:rsidR="00DE2B12" w:rsidRPr="00DE2B1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of Belarus. These innovations can be assessed as the third global reform of labor</w:t>
      </w:r>
      <w:r w:rsidR="00DE2B12" w:rsidRPr="00DE2B1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legislation. Law No. 219-Z of July 18, 2019 introduced a new Chapter in the Labor code</w:t>
      </w:r>
      <w:r w:rsidR="00DE2B12" w:rsidRPr="00DE2B1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of Belarus on the contract system of employment, in which the norms from </w:t>
      </w:r>
      <w:proofErr w:type="gram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a number of</w:t>
      </w:r>
      <w:proofErr w:type="gramEnd"/>
      <w:r w:rsidR="00DE2B12" w:rsidRPr="00DE2B1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decrees of the President of the Republic of Belarus were implemented. </w:t>
      </w:r>
      <w:proofErr w:type="gramStart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A number of</w:t>
      </w:r>
      <w:proofErr w:type="gramEnd"/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conflicts,</w:t>
      </w:r>
      <w:r w:rsidR="00DE2B12" w:rsidRPr="00DE2B1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legal and technical errors related to the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lastRenderedPageBreak/>
        <w:t>adoption of the Law of July 18, 2019 were</w:t>
      </w:r>
      <w:r w:rsidR="00DE2B12" w:rsidRPr="00DE2B1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identified. No. 219-Z, which may lead to problems in practice when applying the updated</w:t>
      </w:r>
      <w:r w:rsidR="00DE2B12" w:rsidRPr="00DE2B1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Labor code of Belarus. The authors make suggestions for improving the labor legislation</w:t>
      </w:r>
      <w:r w:rsidR="00DE2B12" w:rsidRPr="00DE2B1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of Belarus. A comparison is made with the labor legislation of the Russian Federation.</w:t>
      </w:r>
      <w:r w:rsidR="00DE2B12" w:rsidRPr="00DE2B1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It is concluded that the Belarusian lawmaker approached the reform of the Labor Code</w:t>
      </w:r>
      <w:r w:rsidR="00DE2B12" w:rsidRPr="00DE2B1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F7A2E">
        <w:rPr>
          <w:rFonts w:ascii="Times New Roman" w:eastAsia="Newton-Italic" w:hAnsi="Times New Roman" w:cs="Times New Roman"/>
          <w:i/>
          <w:iCs/>
          <w:sz w:val="24"/>
          <w:szCs w:val="24"/>
        </w:rPr>
        <w:t>without sufficient conceptual understanding.</w:t>
      </w:r>
    </w:p>
    <w:p w14:paraId="10663878" w14:textId="77777777" w:rsidR="00DE2B12" w:rsidRDefault="00DE2B12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1114095B" w14:textId="16428147" w:rsidR="00571F1F" w:rsidRPr="00DE2B12" w:rsidRDefault="00571F1F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7A2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Labor Code, reform, working function, labor contract, contract,</w:t>
      </w:r>
      <w:r w:rsidR="00DE2B12" w:rsidRPr="00DE2B12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hiring, transfer, change of essential working conditions, dismissal, remote work, remote</w:t>
      </w:r>
      <w:r w:rsidR="00DE2B12" w:rsidRPr="00DE2B12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F7A2E">
        <w:rPr>
          <w:rFonts w:ascii="Times New Roman" w:eastAsia="Newton-Regular" w:hAnsi="Times New Roman" w:cs="Times New Roman"/>
          <w:sz w:val="24"/>
          <w:szCs w:val="24"/>
        </w:rPr>
        <w:t>worker.</w:t>
      </w:r>
    </w:p>
    <w:p w14:paraId="692D5444" w14:textId="77777777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EED6D" w14:textId="77777777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7536F" w14:textId="77777777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FD686" w14:textId="77777777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8D352" w14:textId="77777777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97FC9" w14:textId="77777777" w:rsidR="00D2331A" w:rsidRPr="00FF7A2E" w:rsidRDefault="00D2331A" w:rsidP="00FF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7DADE" w14:textId="77777777" w:rsidR="00D2331A" w:rsidRPr="00571F1F" w:rsidRDefault="00D2331A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18109" w14:textId="77777777" w:rsidR="00D2331A" w:rsidRPr="00571F1F" w:rsidRDefault="00D2331A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C5DAB" w14:textId="77777777" w:rsidR="00D2331A" w:rsidRPr="00571F1F" w:rsidRDefault="00D2331A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CCC33" w14:textId="4812866F" w:rsidR="001F50D3" w:rsidRPr="00DE2B12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C3C39" w14:textId="77777777" w:rsidR="001F50D3" w:rsidRPr="00DE2B12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03A95" w14:textId="39443614" w:rsidR="00F72381" w:rsidRPr="00DE2B12" w:rsidRDefault="00F72381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2381" w:rsidRPr="00DE2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ton-Italic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Regular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BoldItalic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012EC"/>
    <w:rsid w:val="00011986"/>
    <w:rsid w:val="00020C44"/>
    <w:rsid w:val="00025DA7"/>
    <w:rsid w:val="00026E75"/>
    <w:rsid w:val="00040FAA"/>
    <w:rsid w:val="00041D9B"/>
    <w:rsid w:val="0004656D"/>
    <w:rsid w:val="000468D5"/>
    <w:rsid w:val="000575A3"/>
    <w:rsid w:val="00060BC5"/>
    <w:rsid w:val="00094A79"/>
    <w:rsid w:val="000B11F6"/>
    <w:rsid w:val="000B3344"/>
    <w:rsid w:val="000C368D"/>
    <w:rsid w:val="000D7D1A"/>
    <w:rsid w:val="00117044"/>
    <w:rsid w:val="00121AAA"/>
    <w:rsid w:val="00132FA1"/>
    <w:rsid w:val="00134125"/>
    <w:rsid w:val="001450AB"/>
    <w:rsid w:val="001628F7"/>
    <w:rsid w:val="00163605"/>
    <w:rsid w:val="00186181"/>
    <w:rsid w:val="001B351B"/>
    <w:rsid w:val="001C58F5"/>
    <w:rsid w:val="001F50D3"/>
    <w:rsid w:val="00200B4E"/>
    <w:rsid w:val="00204124"/>
    <w:rsid w:val="0021354D"/>
    <w:rsid w:val="0024680C"/>
    <w:rsid w:val="002554BF"/>
    <w:rsid w:val="002578E0"/>
    <w:rsid w:val="00276CA3"/>
    <w:rsid w:val="002917C7"/>
    <w:rsid w:val="002958C3"/>
    <w:rsid w:val="002972C0"/>
    <w:rsid w:val="002A43EF"/>
    <w:rsid w:val="002C56F1"/>
    <w:rsid w:val="002D15A8"/>
    <w:rsid w:val="002D4A7C"/>
    <w:rsid w:val="002E48E4"/>
    <w:rsid w:val="002F1B6B"/>
    <w:rsid w:val="0031535D"/>
    <w:rsid w:val="00334CF7"/>
    <w:rsid w:val="0035538D"/>
    <w:rsid w:val="00366500"/>
    <w:rsid w:val="00366892"/>
    <w:rsid w:val="00366C5D"/>
    <w:rsid w:val="00395AA1"/>
    <w:rsid w:val="003C1349"/>
    <w:rsid w:val="003C1B4C"/>
    <w:rsid w:val="003C485A"/>
    <w:rsid w:val="003D349C"/>
    <w:rsid w:val="003E028C"/>
    <w:rsid w:val="003F4F93"/>
    <w:rsid w:val="00410E59"/>
    <w:rsid w:val="00412688"/>
    <w:rsid w:val="0041777B"/>
    <w:rsid w:val="00480682"/>
    <w:rsid w:val="00485066"/>
    <w:rsid w:val="004A3297"/>
    <w:rsid w:val="004E0064"/>
    <w:rsid w:val="004E63EA"/>
    <w:rsid w:val="00523270"/>
    <w:rsid w:val="0052501C"/>
    <w:rsid w:val="005379FA"/>
    <w:rsid w:val="00542501"/>
    <w:rsid w:val="00551CB4"/>
    <w:rsid w:val="00551DFF"/>
    <w:rsid w:val="00571F1F"/>
    <w:rsid w:val="005734A5"/>
    <w:rsid w:val="0057765B"/>
    <w:rsid w:val="005826A2"/>
    <w:rsid w:val="00587AC5"/>
    <w:rsid w:val="005B2726"/>
    <w:rsid w:val="005D07A8"/>
    <w:rsid w:val="005E23C8"/>
    <w:rsid w:val="00602221"/>
    <w:rsid w:val="0060720B"/>
    <w:rsid w:val="0062793D"/>
    <w:rsid w:val="00654853"/>
    <w:rsid w:val="006666B4"/>
    <w:rsid w:val="006B0B3F"/>
    <w:rsid w:val="006B354F"/>
    <w:rsid w:val="00700213"/>
    <w:rsid w:val="00702F94"/>
    <w:rsid w:val="007072EB"/>
    <w:rsid w:val="007102D2"/>
    <w:rsid w:val="00711F8E"/>
    <w:rsid w:val="00792819"/>
    <w:rsid w:val="0079686C"/>
    <w:rsid w:val="007B3A7A"/>
    <w:rsid w:val="007C357E"/>
    <w:rsid w:val="007D17F2"/>
    <w:rsid w:val="007D21D4"/>
    <w:rsid w:val="007E660E"/>
    <w:rsid w:val="007F750C"/>
    <w:rsid w:val="00801C25"/>
    <w:rsid w:val="00815CFD"/>
    <w:rsid w:val="00821181"/>
    <w:rsid w:val="008225B5"/>
    <w:rsid w:val="00827557"/>
    <w:rsid w:val="00853D56"/>
    <w:rsid w:val="00885983"/>
    <w:rsid w:val="008A7E3E"/>
    <w:rsid w:val="008D620F"/>
    <w:rsid w:val="00904493"/>
    <w:rsid w:val="00906B38"/>
    <w:rsid w:val="009151F1"/>
    <w:rsid w:val="00932E66"/>
    <w:rsid w:val="00934FCF"/>
    <w:rsid w:val="00967529"/>
    <w:rsid w:val="00975A63"/>
    <w:rsid w:val="00976620"/>
    <w:rsid w:val="0097754B"/>
    <w:rsid w:val="00993E1C"/>
    <w:rsid w:val="009961D9"/>
    <w:rsid w:val="009A7B6B"/>
    <w:rsid w:val="009B5E0D"/>
    <w:rsid w:val="009E2CF3"/>
    <w:rsid w:val="00A15428"/>
    <w:rsid w:val="00A252D7"/>
    <w:rsid w:val="00AA12D9"/>
    <w:rsid w:val="00AA738C"/>
    <w:rsid w:val="00AA7723"/>
    <w:rsid w:val="00AD264E"/>
    <w:rsid w:val="00B138A6"/>
    <w:rsid w:val="00B33674"/>
    <w:rsid w:val="00B524F9"/>
    <w:rsid w:val="00B5284B"/>
    <w:rsid w:val="00B537D9"/>
    <w:rsid w:val="00B560CC"/>
    <w:rsid w:val="00B617CA"/>
    <w:rsid w:val="00B61BE9"/>
    <w:rsid w:val="00BB7690"/>
    <w:rsid w:val="00BC0727"/>
    <w:rsid w:val="00BD1558"/>
    <w:rsid w:val="00BF0337"/>
    <w:rsid w:val="00BF432B"/>
    <w:rsid w:val="00BF516C"/>
    <w:rsid w:val="00BF555A"/>
    <w:rsid w:val="00C22AE6"/>
    <w:rsid w:val="00C41462"/>
    <w:rsid w:val="00C520B7"/>
    <w:rsid w:val="00C77EE3"/>
    <w:rsid w:val="00C83DCB"/>
    <w:rsid w:val="00CA0B9E"/>
    <w:rsid w:val="00CB53A7"/>
    <w:rsid w:val="00CE5D22"/>
    <w:rsid w:val="00CF5C46"/>
    <w:rsid w:val="00D2331A"/>
    <w:rsid w:val="00D369A1"/>
    <w:rsid w:val="00DB141C"/>
    <w:rsid w:val="00DC3BFC"/>
    <w:rsid w:val="00DD4AFC"/>
    <w:rsid w:val="00DD59ED"/>
    <w:rsid w:val="00DE243F"/>
    <w:rsid w:val="00DE2B12"/>
    <w:rsid w:val="00DE552A"/>
    <w:rsid w:val="00E04B00"/>
    <w:rsid w:val="00E0538C"/>
    <w:rsid w:val="00E062CF"/>
    <w:rsid w:val="00E21BE2"/>
    <w:rsid w:val="00E4785A"/>
    <w:rsid w:val="00E75850"/>
    <w:rsid w:val="00E817FC"/>
    <w:rsid w:val="00EA31FB"/>
    <w:rsid w:val="00EA7167"/>
    <w:rsid w:val="00EB62E4"/>
    <w:rsid w:val="00EC3860"/>
    <w:rsid w:val="00EE0745"/>
    <w:rsid w:val="00F03D72"/>
    <w:rsid w:val="00F05828"/>
    <w:rsid w:val="00F26231"/>
    <w:rsid w:val="00F33421"/>
    <w:rsid w:val="00F4097D"/>
    <w:rsid w:val="00F40F87"/>
    <w:rsid w:val="00F43719"/>
    <w:rsid w:val="00F60067"/>
    <w:rsid w:val="00F66A22"/>
    <w:rsid w:val="00F72381"/>
    <w:rsid w:val="00FA2E1E"/>
    <w:rsid w:val="00FB4CA7"/>
    <w:rsid w:val="00FB7488"/>
    <w:rsid w:val="00FC141E"/>
    <w:rsid w:val="00FD6F0B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819C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F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3772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50</cp:revision>
  <dcterms:created xsi:type="dcterms:W3CDTF">2017-04-21T09:27:00Z</dcterms:created>
  <dcterms:modified xsi:type="dcterms:W3CDTF">2020-06-11T13:04:00Z</dcterms:modified>
</cp:coreProperties>
</file>