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EE433" w14:textId="756D7EBA"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b/>
          <w:sz w:val="24"/>
          <w:szCs w:val="24"/>
          <w:lang w:val="ru-RU"/>
        </w:rPr>
        <w:t>Вестник Московского университета</w:t>
      </w:r>
    </w:p>
    <w:p w14:paraId="4F654913" w14:textId="77777777"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Серия 11 Право </w:t>
      </w:r>
    </w:p>
    <w:p w14:paraId="7BB141DA" w14:textId="77777777"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Научный журнал </w:t>
      </w:r>
    </w:p>
    <w:p w14:paraId="5A38543C" w14:textId="77777777"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sz w:val="24"/>
          <w:szCs w:val="24"/>
          <w:lang w:val="ru-RU"/>
        </w:rPr>
        <w:t>Основан в ноябре 1946 г.</w:t>
      </w:r>
    </w:p>
    <w:p w14:paraId="3E046E5E" w14:textId="77777777"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sz w:val="24"/>
          <w:szCs w:val="24"/>
          <w:lang w:val="ru-RU"/>
        </w:rPr>
        <w:t>Издательство Московского университета</w:t>
      </w:r>
    </w:p>
    <w:p w14:paraId="4B0AED8E" w14:textId="77777777"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483F84" w14:textId="77777777"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097D">
        <w:rPr>
          <w:rFonts w:ascii="Times New Roman" w:hAnsi="Times New Roman" w:cs="Times New Roman"/>
          <w:sz w:val="24"/>
          <w:szCs w:val="24"/>
          <w:lang w:val="ru-RU"/>
        </w:rPr>
        <w:t>Выходит</w:t>
      </w:r>
      <w:proofErr w:type="gramEnd"/>
      <w:r w:rsidRPr="00F4097D">
        <w:rPr>
          <w:rFonts w:ascii="Times New Roman" w:hAnsi="Times New Roman" w:cs="Times New Roman"/>
          <w:sz w:val="24"/>
          <w:szCs w:val="24"/>
          <w:lang w:val="ru-RU"/>
        </w:rPr>
        <w:t xml:space="preserve"> один раз в два месяца</w:t>
      </w:r>
    </w:p>
    <w:p w14:paraId="57B9B079" w14:textId="77777777"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B4062D" w14:textId="4A2E8D14" w:rsidR="005379FA" w:rsidRDefault="009B5E0D" w:rsidP="005379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5E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№ </w:t>
      </w:r>
      <w:r w:rsidR="001F50D3">
        <w:rPr>
          <w:rFonts w:ascii="Times New Roman" w:hAnsi="Times New Roman" w:cs="Times New Roman"/>
          <w:b/>
          <w:sz w:val="24"/>
          <w:szCs w:val="24"/>
        </w:rPr>
        <w:t>1</w:t>
      </w:r>
      <w:r w:rsidRPr="009B5E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• 20</w:t>
      </w:r>
      <w:r w:rsidR="001F50D3">
        <w:rPr>
          <w:rFonts w:ascii="Times New Roman" w:hAnsi="Times New Roman" w:cs="Times New Roman"/>
          <w:b/>
          <w:sz w:val="24"/>
          <w:szCs w:val="24"/>
        </w:rPr>
        <w:t>20</w:t>
      </w:r>
      <w:r w:rsidRPr="009B5E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• </w:t>
      </w:r>
      <w:r w:rsidR="001F50D3">
        <w:rPr>
          <w:rFonts w:ascii="Times New Roman" w:hAnsi="Times New Roman" w:cs="Times New Roman"/>
          <w:b/>
          <w:sz w:val="24"/>
          <w:szCs w:val="24"/>
          <w:lang w:val="ru-RU"/>
        </w:rPr>
        <w:t>январь</w:t>
      </w:r>
      <w:r w:rsidR="00366500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 w:rsidR="001F50D3">
        <w:rPr>
          <w:rFonts w:ascii="Times New Roman" w:hAnsi="Times New Roman" w:cs="Times New Roman"/>
          <w:b/>
          <w:sz w:val="24"/>
          <w:szCs w:val="24"/>
          <w:lang w:val="ru-RU"/>
        </w:rPr>
        <w:t>ф</w:t>
      </w:r>
      <w:r w:rsidR="00134125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="001F50D3">
        <w:rPr>
          <w:rFonts w:ascii="Times New Roman" w:hAnsi="Times New Roman" w:cs="Times New Roman"/>
          <w:b/>
          <w:sz w:val="24"/>
          <w:szCs w:val="24"/>
          <w:lang w:val="ru-RU"/>
        </w:rPr>
        <w:t>вр</w:t>
      </w:r>
      <w:r w:rsidR="00134125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="001F50D3">
        <w:rPr>
          <w:rFonts w:ascii="Times New Roman" w:hAnsi="Times New Roman" w:cs="Times New Roman"/>
          <w:b/>
          <w:sz w:val="24"/>
          <w:szCs w:val="24"/>
          <w:lang w:val="ru-RU"/>
        </w:rPr>
        <w:t>л</w:t>
      </w:r>
      <w:r w:rsidR="00366500">
        <w:rPr>
          <w:rFonts w:ascii="Times New Roman" w:hAnsi="Times New Roman" w:cs="Times New Roman"/>
          <w:b/>
          <w:sz w:val="24"/>
          <w:szCs w:val="24"/>
          <w:lang w:val="ru-RU"/>
        </w:rPr>
        <w:t>ь</w:t>
      </w:r>
    </w:p>
    <w:p w14:paraId="76E70DAE" w14:textId="1904CF1D" w:rsidR="001F50D3" w:rsidRDefault="001F50D3" w:rsidP="005379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7AD4A79" w14:textId="694AEEDE" w:rsidR="003F4F93" w:rsidRPr="002E48E4" w:rsidRDefault="003F4F93" w:rsidP="002E4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r w:rsidRPr="002E48E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С.А. </w:t>
      </w:r>
      <w:proofErr w:type="spellStart"/>
      <w:r w:rsidRPr="002E48E4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Авакьян</w:t>
      </w:r>
      <w:proofErr w:type="spellEnd"/>
      <w:r w:rsidRPr="002E48E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доктор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юридических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наук, профессор, заслуженный деятель науки РФ, заслуженный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юрист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РФ, заведующий кафедрой конституционного и муниципального права юридического факультета МГУ</w:t>
      </w:r>
    </w:p>
    <w:p w14:paraId="261D650A" w14:textId="77777777" w:rsidR="002E48E4" w:rsidRDefault="002E48E4" w:rsidP="002E4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FE618AA" w14:textId="3CC2D295" w:rsidR="003F4F93" w:rsidRDefault="003F4F93" w:rsidP="002E4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E48E4"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r w:rsidR="002E48E4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овет</w:t>
      </w:r>
      <w:r w:rsidRPr="002E48E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Ф</w:t>
      </w:r>
      <w:r w:rsidR="002E48E4">
        <w:rPr>
          <w:rFonts w:ascii="Times New Roman" w:hAnsi="Times New Roman" w:cs="Times New Roman"/>
          <w:b/>
          <w:bCs/>
          <w:sz w:val="24"/>
          <w:szCs w:val="24"/>
          <w:lang w:val="ru-RU"/>
        </w:rPr>
        <w:t>едерации</w:t>
      </w:r>
      <w:r w:rsidRPr="002E48E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="002E48E4">
        <w:rPr>
          <w:rFonts w:ascii="Times New Roman" w:hAnsi="Times New Roman" w:cs="Times New Roman"/>
          <w:b/>
          <w:bCs/>
          <w:sz w:val="24"/>
          <w:szCs w:val="24"/>
          <w:lang w:val="ru-RU"/>
        </w:rPr>
        <w:t>четверть века проблем формирования палаты</w:t>
      </w:r>
    </w:p>
    <w:p w14:paraId="2BF3C046" w14:textId="77777777" w:rsidR="002E48E4" w:rsidRPr="002E48E4" w:rsidRDefault="002E48E4" w:rsidP="002E4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88A4B99" w14:textId="51291C56" w:rsidR="001F50D3" w:rsidRPr="002E48E4" w:rsidRDefault="003F4F93" w:rsidP="002E4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Совет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Федерации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—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палата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Федерального Собрания, парламента Российской Федерации.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Автор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анализирует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процедуры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формирования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палаты — в прошлом и в настоящее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время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.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Обращается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внимание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на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то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, что в данном процессе</w:t>
      </w:r>
      <w:r w:rsid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превалирует тенденция направлять в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Совет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Федерации федеральных и региональных функционеров. Автор предлагает</w:t>
      </w:r>
      <w:r w:rsid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перейти к избранию членов Совета</w:t>
      </w:r>
      <w:r w:rsid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Федерации населением субъектов Российской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Федерации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.</w:t>
      </w:r>
    </w:p>
    <w:p w14:paraId="3AD26EAA" w14:textId="77777777" w:rsidR="002E48E4" w:rsidRDefault="002E48E4" w:rsidP="002E4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409B67B9" w14:textId="6B5C0CBB" w:rsidR="003F4F93" w:rsidRPr="002E48E4" w:rsidRDefault="003F4F93" w:rsidP="002E4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  <w:r w:rsidRPr="002E48E4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  <w:t xml:space="preserve">Ключевые слова: </w:t>
      </w:r>
      <w:r w:rsidRPr="002E48E4">
        <w:rPr>
          <w:rFonts w:ascii="Times New Roman" w:eastAsia="Newton-Regular" w:hAnsi="Times New Roman" w:cs="Times New Roman"/>
          <w:sz w:val="24"/>
          <w:szCs w:val="24"/>
          <w:lang w:val="ru-RU"/>
        </w:rPr>
        <w:t>Совет Федерации, Федеральное Собрание Российской</w:t>
      </w:r>
      <w:r w:rsidR="002E48E4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 </w:t>
      </w:r>
      <w:r w:rsidRPr="002E48E4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Федерации, член Совета Федерации, </w:t>
      </w:r>
      <w:proofErr w:type="spellStart"/>
      <w:r w:rsidRPr="002E48E4">
        <w:rPr>
          <w:rFonts w:ascii="Times New Roman" w:eastAsia="Newton-Regular" w:hAnsi="Times New Roman" w:cs="Times New Roman"/>
          <w:sz w:val="24"/>
          <w:szCs w:val="24"/>
          <w:lang w:val="ru-RU"/>
        </w:rPr>
        <w:t>законы</w:t>
      </w:r>
      <w:proofErr w:type="spellEnd"/>
      <w:r w:rsidRPr="002E48E4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 о порядке формирования Совета Федерации.</w:t>
      </w:r>
    </w:p>
    <w:p w14:paraId="3FAEDC20" w14:textId="77777777" w:rsidR="002E48E4" w:rsidRDefault="002E48E4" w:rsidP="002E4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</w:p>
    <w:p w14:paraId="283BF5A6" w14:textId="33E3CA96" w:rsidR="003F4F93" w:rsidRPr="002E48E4" w:rsidRDefault="003F4F93" w:rsidP="002E4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>Federation Council is the chamber of the Federal Assembly of Russia (parliament</w:t>
      </w:r>
      <w:r w:rsidR="002E48E4"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>of the Russian Federation). The author analyzes the procedures for the formation of</w:t>
      </w:r>
      <w:r w:rsidR="002E48E4"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>the chamber — in the past and at present. Attention is drawn to the fact that in this</w:t>
      </w:r>
      <w:r w:rsidR="002E48E4"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>process the sending of federal and regional functionaries to the Council of the Federation</w:t>
      </w:r>
      <w:r w:rsidR="002E48E4"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>is prevailing. The author suggests proceeding to the election of members of the Federation</w:t>
      </w:r>
      <w:r w:rsidR="002E48E4"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>Council by the population of the constituent entities of the Russian Federation.</w:t>
      </w:r>
    </w:p>
    <w:p w14:paraId="530FA752" w14:textId="77777777" w:rsidR="002E48E4" w:rsidRDefault="002E48E4" w:rsidP="002E4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</w:pPr>
    </w:p>
    <w:p w14:paraId="33CE9553" w14:textId="62741410" w:rsidR="003F4F93" w:rsidRPr="002E48E4" w:rsidRDefault="003F4F93" w:rsidP="002E4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E48E4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  <w:t xml:space="preserve">Keywords: </w:t>
      </w:r>
      <w:r w:rsidRPr="002E48E4">
        <w:rPr>
          <w:rFonts w:ascii="Times New Roman" w:eastAsia="Newton-Regular" w:hAnsi="Times New Roman" w:cs="Times New Roman"/>
          <w:sz w:val="24"/>
          <w:szCs w:val="24"/>
        </w:rPr>
        <w:t>Federation Council, Federal Assembly of the Russian Federation,</w:t>
      </w:r>
      <w:r w:rsidR="002E48E4" w:rsidRPr="002E48E4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E48E4">
        <w:rPr>
          <w:rFonts w:ascii="Times New Roman" w:eastAsia="Newton-Regular" w:hAnsi="Times New Roman" w:cs="Times New Roman"/>
          <w:sz w:val="24"/>
          <w:szCs w:val="24"/>
        </w:rPr>
        <w:t>member of the Federation Council, laws on the procedure of formation of the Federation</w:t>
      </w:r>
      <w:r w:rsidR="002E48E4" w:rsidRPr="002E48E4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E48E4">
        <w:rPr>
          <w:rFonts w:ascii="Times New Roman" w:eastAsia="Newton-Regular" w:hAnsi="Times New Roman" w:cs="Times New Roman"/>
          <w:sz w:val="24"/>
          <w:szCs w:val="24"/>
        </w:rPr>
        <w:t>Council.</w:t>
      </w:r>
    </w:p>
    <w:p w14:paraId="1F646A2B" w14:textId="77777777" w:rsidR="002E48E4" w:rsidRDefault="002E48E4" w:rsidP="002E4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</w:pPr>
    </w:p>
    <w:p w14:paraId="6BAD9887" w14:textId="1A3286A7" w:rsidR="003F4F93" w:rsidRPr="002E48E4" w:rsidRDefault="003F4F93" w:rsidP="002E4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</w:pPr>
      <w:r w:rsidRPr="002E48E4"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  <w:t>Проблемы криминалистики</w:t>
      </w:r>
    </w:p>
    <w:p w14:paraId="2A95CDF9" w14:textId="77777777" w:rsidR="002E48E4" w:rsidRDefault="002E48E4" w:rsidP="002E4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F35E33D" w14:textId="5377605D" w:rsidR="003F4F93" w:rsidRPr="002E48E4" w:rsidRDefault="003F4F93" w:rsidP="002E4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</w:pPr>
      <w:r w:rsidRPr="002E48E4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 xml:space="preserve">Е.Е. Центров,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доктор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юридических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наук, заслуженный профессор МГУ,</w:t>
      </w:r>
      <w:r w:rsid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профессор кафедры криминалистики юридического факультета МГУ</w:t>
      </w:r>
      <w:r w:rsidRPr="002E48E4">
        <w:rPr>
          <w:rFonts w:ascii="Times New Roman" w:eastAsia="Newton-Regular" w:hAnsi="Times New Roman" w:cs="Times New Roman"/>
          <w:color w:val="FFFFFF"/>
          <w:sz w:val="24"/>
          <w:szCs w:val="24"/>
          <w:lang w:val="ru-RU"/>
        </w:rPr>
        <w:t>11</w:t>
      </w:r>
    </w:p>
    <w:p w14:paraId="3A80B794" w14:textId="77777777" w:rsidR="002E48E4" w:rsidRDefault="002E48E4" w:rsidP="002E4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F2DF585" w14:textId="294EA344" w:rsidR="003F4F93" w:rsidRPr="002E48E4" w:rsidRDefault="003F4F93" w:rsidP="002E4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</w:pPr>
      <w:r w:rsidRPr="002E48E4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>Оценка достоверности признания лицом</w:t>
      </w:r>
      <w:r w:rsidR="002E48E4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48E4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>своей вины в целях его отграничения</w:t>
      </w:r>
    </w:p>
    <w:p w14:paraId="20F412D7" w14:textId="2703BC51" w:rsidR="003F4F93" w:rsidRPr="002E48E4" w:rsidRDefault="003F4F93" w:rsidP="002E48E4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2E48E4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</w:rPr>
        <w:t>от</w:t>
      </w:r>
      <w:proofErr w:type="spellEnd"/>
      <w:r w:rsidRPr="002E48E4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E48E4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</w:rPr>
        <w:t>самооговора</w:t>
      </w:r>
      <w:proofErr w:type="spellEnd"/>
      <w:r w:rsidRPr="002E48E4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2E48E4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</w:rPr>
        <w:t>оговора</w:t>
      </w:r>
      <w:proofErr w:type="spellEnd"/>
    </w:p>
    <w:p w14:paraId="768A54C1" w14:textId="77777777" w:rsidR="002E48E4" w:rsidRDefault="002E48E4" w:rsidP="002E4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</w:p>
    <w:p w14:paraId="5BE5628D" w14:textId="015C68DC" w:rsidR="003F4F93" w:rsidRPr="002E48E4" w:rsidRDefault="003F4F93" w:rsidP="002E4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В статье рассматриваются обстоятельства, при которых возможно</w:t>
      </w:r>
      <w:r w:rsid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появление самооговора и оговора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со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стороны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лица, привлеченного к уголовной</w:t>
      </w:r>
      <w:r w:rsid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ответственности.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lastRenderedPageBreak/>
        <w:t>Приводятся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основные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критерии, позволяющие оценить достоверность признания лицом своей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вины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в совершенном преступлении и отграничить истинное признание от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ложного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. При оценке полученного признания</w:t>
      </w:r>
      <w:r w:rsid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обязательно учитывается, насколько полно и точно обвиняемый (подозреваемый) осведомлен об обстоятельствах, деталях происшедшего криминального</w:t>
      </w:r>
      <w:r w:rsid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события.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Кроме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того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,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нужно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учесть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и возможный наводящий характер использованных в процессе изобличения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лица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в совершенном преступлении различных</w:t>
      </w:r>
      <w:r w:rsid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следственных действий, предъявления вещественных доказательств и иных</w:t>
      </w:r>
      <w:r w:rsid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фактических сведений.</w:t>
      </w:r>
    </w:p>
    <w:p w14:paraId="248A804F" w14:textId="77777777" w:rsidR="002E48E4" w:rsidRDefault="002E48E4" w:rsidP="002E4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555C454B" w14:textId="09536B0A" w:rsidR="003F4F93" w:rsidRPr="002E48E4" w:rsidRDefault="003F4F93" w:rsidP="002E4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  <w:r w:rsidRPr="002E48E4">
        <w:rPr>
          <w:rFonts w:ascii="Times New Roman" w:eastAsia="Newton-Italic" w:hAnsi="Times New Roman" w:cs="Times New Roman"/>
          <w:b/>
          <w:bCs/>
          <w:i/>
          <w:iCs/>
          <w:sz w:val="24"/>
          <w:szCs w:val="24"/>
          <w:lang w:val="ru-RU"/>
        </w:rPr>
        <w:t xml:space="preserve">Ключевые слова: </w:t>
      </w:r>
      <w:r w:rsidRPr="002E48E4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признание своей вины, самооговор, оговор, доказательства, проверка показаний на </w:t>
      </w:r>
      <w:proofErr w:type="spellStart"/>
      <w:r w:rsidRPr="002E48E4">
        <w:rPr>
          <w:rFonts w:ascii="Times New Roman" w:eastAsia="Newton-Regular" w:hAnsi="Times New Roman" w:cs="Times New Roman"/>
          <w:sz w:val="24"/>
          <w:szCs w:val="24"/>
          <w:lang w:val="ru-RU"/>
        </w:rPr>
        <w:t>месте</w:t>
      </w:r>
      <w:proofErr w:type="spellEnd"/>
      <w:r w:rsidRPr="002E48E4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E48E4">
        <w:rPr>
          <w:rFonts w:ascii="Times New Roman" w:eastAsia="Newton-Regular" w:hAnsi="Times New Roman" w:cs="Times New Roman"/>
          <w:sz w:val="24"/>
          <w:szCs w:val="24"/>
          <w:lang w:val="ru-RU"/>
        </w:rPr>
        <w:t>насилие</w:t>
      </w:r>
      <w:proofErr w:type="spellEnd"/>
      <w:r w:rsidRPr="002E48E4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E48E4">
        <w:rPr>
          <w:rFonts w:ascii="Times New Roman" w:eastAsia="Newton-Regular" w:hAnsi="Times New Roman" w:cs="Times New Roman"/>
          <w:sz w:val="24"/>
          <w:szCs w:val="24"/>
          <w:lang w:val="ru-RU"/>
        </w:rPr>
        <w:t>пытка</w:t>
      </w:r>
      <w:proofErr w:type="spellEnd"/>
      <w:r w:rsidRPr="002E48E4">
        <w:rPr>
          <w:rFonts w:ascii="Times New Roman" w:eastAsia="Newton-Regular" w:hAnsi="Times New Roman" w:cs="Times New Roman"/>
          <w:sz w:val="24"/>
          <w:szCs w:val="24"/>
          <w:lang w:val="ru-RU"/>
        </w:rPr>
        <w:t>.</w:t>
      </w:r>
    </w:p>
    <w:p w14:paraId="495D816E" w14:textId="77777777" w:rsidR="002E48E4" w:rsidRDefault="002E48E4" w:rsidP="002E4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</w:p>
    <w:p w14:paraId="34EA6BAD" w14:textId="05C7DB4F" w:rsidR="003F4F93" w:rsidRPr="002E48E4" w:rsidRDefault="003F4F93" w:rsidP="002E4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>The article discuses the circumstances in which the appearance of self-incrimination</w:t>
      </w:r>
      <w:r w:rsidR="002E48E4"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>and reservation on the part of the person held criminally liable. The main criteria</w:t>
      </w:r>
      <w:r w:rsidR="002E48E4"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>are given that allow one to assess the reliability of a person’s confession of guilt in a crime</w:t>
      </w:r>
      <w:r w:rsidR="002E48E4"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>and to distinguish between true and false confessions. When assessing the confession obtained,</w:t>
      </w:r>
      <w:r w:rsidR="002E48E4"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it is necessary to </w:t>
      </w:r>
      <w:proofErr w:type="gram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>take into account</w:t>
      </w:r>
      <w:proofErr w:type="gram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how fully and accurately the accused (suspect)</w:t>
      </w:r>
      <w:r w:rsidR="002E48E4"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>is aware of the circumstances and details of the criminal event. In addition, it is necessary</w:t>
      </w:r>
      <w:r w:rsidR="002E48E4"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to </w:t>
      </w:r>
      <w:proofErr w:type="gram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>take into account</w:t>
      </w:r>
      <w:proofErr w:type="gram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the possible suggestive nature of the various investigative actions</w:t>
      </w:r>
      <w:r w:rsidR="002E48E4"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>used in the process of incriminating a person of a committed crime, presenting material</w:t>
      </w:r>
      <w:r w:rsidR="002E48E4"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>evidence and other factual information.</w:t>
      </w:r>
    </w:p>
    <w:p w14:paraId="144A170E" w14:textId="77777777" w:rsidR="002E48E4" w:rsidRDefault="002E48E4" w:rsidP="002E4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</w:pPr>
    </w:p>
    <w:p w14:paraId="67322770" w14:textId="14BB89A3" w:rsidR="003F4F93" w:rsidRPr="002E48E4" w:rsidRDefault="003F4F93" w:rsidP="002E4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E48E4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  <w:t>Keywords</w:t>
      </w:r>
      <w:r w:rsidRPr="002E48E4">
        <w:rPr>
          <w:rFonts w:ascii="Times New Roman" w:eastAsia="Newton-Regular" w:hAnsi="Times New Roman" w:cs="Times New Roman"/>
          <w:sz w:val="24"/>
          <w:szCs w:val="24"/>
        </w:rPr>
        <w:t>: confession, self-incrimination, slander, evidence, on-site verification,</w:t>
      </w:r>
      <w:r w:rsidR="002E48E4" w:rsidRPr="002E48E4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E48E4">
        <w:rPr>
          <w:rFonts w:ascii="Times New Roman" w:eastAsia="Newton-Regular" w:hAnsi="Times New Roman" w:cs="Times New Roman"/>
          <w:sz w:val="24"/>
          <w:szCs w:val="24"/>
        </w:rPr>
        <w:t>violence,</w:t>
      </w:r>
      <w:r w:rsidR="002E48E4" w:rsidRPr="002E48E4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E48E4">
        <w:rPr>
          <w:rFonts w:ascii="Times New Roman" w:eastAsia="Newton-Regular" w:hAnsi="Times New Roman" w:cs="Times New Roman"/>
          <w:sz w:val="24"/>
          <w:szCs w:val="24"/>
        </w:rPr>
        <w:t>torture.</w:t>
      </w:r>
    </w:p>
    <w:p w14:paraId="70765E8D" w14:textId="77777777" w:rsidR="002E48E4" w:rsidRDefault="002E48E4" w:rsidP="002E4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</w:pPr>
    </w:p>
    <w:p w14:paraId="5798AA09" w14:textId="799BFE44" w:rsidR="003F4F93" w:rsidRPr="002E48E4" w:rsidRDefault="003F4F93" w:rsidP="00551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</w:pPr>
      <w:r w:rsidRPr="002E48E4"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  <w:t xml:space="preserve">Вопросы уголовного права и </w:t>
      </w:r>
      <w:proofErr w:type="spellStart"/>
      <w:r w:rsidRPr="002E48E4"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  <w:t>процесса</w:t>
      </w:r>
      <w:proofErr w:type="spellEnd"/>
    </w:p>
    <w:p w14:paraId="585A8261" w14:textId="77777777" w:rsidR="002E48E4" w:rsidRDefault="002E48E4" w:rsidP="00551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E0F6CF6" w14:textId="4E47BD42" w:rsidR="003F4F93" w:rsidRPr="002E48E4" w:rsidRDefault="003F4F93" w:rsidP="00551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</w:pPr>
      <w:r w:rsidRPr="002E48E4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 xml:space="preserve">Р.А. </w:t>
      </w:r>
      <w:proofErr w:type="spellStart"/>
      <w:r w:rsidRPr="002E48E4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>Забавко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, кандидат юридических наук, доцент кафедры уголовного права</w:t>
      </w:r>
      <w:r w:rsid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Юридического института Иркутского государственного</w:t>
      </w:r>
      <w:r w:rsid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университета</w:t>
      </w:r>
      <w:r w:rsidRPr="002E48E4">
        <w:rPr>
          <w:rFonts w:ascii="Times New Roman" w:eastAsia="Newton-Italic" w:hAnsi="Times New Roman" w:cs="Times New Roman"/>
          <w:i/>
          <w:iCs/>
          <w:color w:val="FFFFFF"/>
          <w:sz w:val="24"/>
          <w:szCs w:val="24"/>
          <w:lang w:val="ru-RU"/>
        </w:rPr>
        <w:t>1</w:t>
      </w:r>
    </w:p>
    <w:p w14:paraId="41C3B853" w14:textId="77777777" w:rsidR="002E48E4" w:rsidRDefault="002E48E4" w:rsidP="00551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EB8A355" w14:textId="75F684B9" w:rsidR="003F4F93" w:rsidRDefault="003F4F93" w:rsidP="00551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</w:pPr>
      <w:r w:rsidRPr="002E48E4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="002E48E4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 xml:space="preserve">олисемия в уголовном законодательстве </w:t>
      </w:r>
      <w:r w:rsidRPr="002E48E4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>Р</w:t>
      </w:r>
      <w:r w:rsidR="002E48E4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>оссии</w:t>
      </w:r>
    </w:p>
    <w:p w14:paraId="0D4E92D0" w14:textId="77777777" w:rsidR="002E48E4" w:rsidRPr="002E48E4" w:rsidRDefault="002E48E4" w:rsidP="00551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142B726" w14:textId="2051B31D" w:rsidR="003F4F93" w:rsidRPr="002E48E4" w:rsidRDefault="003F4F93" w:rsidP="00551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</w:pPr>
      <w:proofErr w:type="spellStart"/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Несмотря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на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требование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четкости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терминологии, текст уголовного закона не лишен полисемии —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способности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слова, словосочетания или другого</w:t>
      </w:r>
      <w:r w:rsid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конструктивного объекта</w:t>
      </w:r>
      <w:r w:rsid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иметь несколько значений. В статье проанализированы наиболее проблемные, по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мнению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автора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, явления полисемии в уголовном</w:t>
      </w:r>
      <w:r w:rsid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законодательстве России. Рассмотрены</w:t>
      </w:r>
      <w:r w:rsid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некоторые аспекты межотраслевой</w:t>
      </w:r>
      <w:r w:rsid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полисемии.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Выявлены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термины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, имеющие двусмысленное или неопределенное</w:t>
      </w:r>
      <w:r w:rsidR="00551CB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толкование, проиллюстрированы реальные проблемы правоприменительной деятельности, связанные с полисемией в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уголовном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праве, названы основные причины полисемии, а также указаны пути преодоления проблемы</w:t>
      </w:r>
      <w:r w:rsidR="00551CB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двойственности</w:t>
      </w:r>
      <w:r w:rsidR="00551CB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толкования уголовно-правовых терминов.</w:t>
      </w:r>
    </w:p>
    <w:p w14:paraId="39B744B5" w14:textId="77777777" w:rsidR="00551CB4" w:rsidRDefault="00551CB4" w:rsidP="00551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40713A73" w14:textId="3F1C8FE5" w:rsidR="003F4F93" w:rsidRPr="00551CB4" w:rsidRDefault="003F4F93" w:rsidP="00551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  <w:r w:rsidRPr="002E48E4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  <w:t xml:space="preserve">Ключевые слова: </w:t>
      </w:r>
      <w:r w:rsidRPr="002E48E4">
        <w:rPr>
          <w:rFonts w:ascii="Times New Roman" w:eastAsia="Newton-Regular" w:hAnsi="Times New Roman" w:cs="Times New Roman"/>
          <w:sz w:val="24"/>
          <w:szCs w:val="24"/>
          <w:lang w:val="ru-RU"/>
        </w:rPr>
        <w:t>полисемия, деяние, вина, потерпевший, транспортное</w:t>
      </w:r>
      <w:r w:rsidR="00551CB4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 </w:t>
      </w:r>
      <w:r w:rsidRPr="00551CB4">
        <w:rPr>
          <w:rFonts w:ascii="Times New Roman" w:eastAsia="Newton-Regular" w:hAnsi="Times New Roman" w:cs="Times New Roman"/>
          <w:sz w:val="24"/>
          <w:szCs w:val="24"/>
          <w:lang w:val="ru-RU"/>
        </w:rPr>
        <w:t>средство.</w:t>
      </w:r>
    </w:p>
    <w:p w14:paraId="4F0DB087" w14:textId="77777777" w:rsidR="00551CB4" w:rsidRDefault="00551CB4" w:rsidP="00551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</w:p>
    <w:p w14:paraId="2CDB544B" w14:textId="783887A7" w:rsidR="003F4F93" w:rsidRPr="002E48E4" w:rsidRDefault="003F4F93" w:rsidP="00551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>Despite the requirement for clarity of terminology, the text of the criminal law has</w:t>
      </w:r>
      <w:r w:rsidR="00551CB4" w:rsidRPr="00551CB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>polysemy — the ability of a word, phrase, or other constructive object to have several</w:t>
      </w:r>
      <w:r w:rsidR="00551CB4" w:rsidRPr="00551CB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>meanings. The article analyzes the most problematic, according to the author, phenomena</w:t>
      </w:r>
      <w:r w:rsidR="00551CB4" w:rsidRPr="00551CB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>of polysemy in the criminal legislation of Russia. Some aspects of interbranch polysemy</w:t>
      </w:r>
      <w:r w:rsidR="00551CB4" w:rsidRPr="00551CB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are considered. The terms with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lastRenderedPageBreak/>
        <w:t>ambiguous or undefined definitions are identified,</w:t>
      </w:r>
      <w:r w:rsidR="00551CB4" w:rsidRPr="00551CB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>the real problems of law enforcement related to polysemy in criminal law are fixed, the</w:t>
      </w:r>
      <w:r w:rsidR="00551CB4" w:rsidRPr="00551CB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>main causes of the polysemy are identified, and ways to overcome the duality of interpretation</w:t>
      </w:r>
      <w:r w:rsidR="00551CB4" w:rsidRPr="00551CB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>of criminal law terms are indicated.</w:t>
      </w:r>
    </w:p>
    <w:p w14:paraId="75D58AFF" w14:textId="77777777" w:rsidR="00551CB4" w:rsidRDefault="00551CB4" w:rsidP="00551CB4">
      <w:pPr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</w:pPr>
    </w:p>
    <w:p w14:paraId="524A3C4F" w14:textId="346BCF10" w:rsidR="003F4F93" w:rsidRPr="002E48E4" w:rsidRDefault="003F4F93" w:rsidP="00551CB4">
      <w:pPr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E48E4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  <w:t xml:space="preserve">Keywords: </w:t>
      </w:r>
      <w:r w:rsidRPr="002E48E4">
        <w:rPr>
          <w:rFonts w:ascii="Times New Roman" w:eastAsia="Newton-Regular" w:hAnsi="Times New Roman" w:cs="Times New Roman"/>
          <w:sz w:val="24"/>
          <w:szCs w:val="24"/>
        </w:rPr>
        <w:t>polysemy, act, criminal fault, victim, transport.</w:t>
      </w:r>
    </w:p>
    <w:p w14:paraId="63996CD0" w14:textId="77777777" w:rsidR="00551CB4" w:rsidRDefault="00551CB4" w:rsidP="003F4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00C10A" w14:textId="6783F698" w:rsidR="003F4F93" w:rsidRPr="00551CB4" w:rsidRDefault="003F4F93" w:rsidP="00F33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</w:pPr>
      <w:proofErr w:type="gramStart"/>
      <w:r w:rsidRPr="002E48E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М.А.</w:t>
      </w:r>
      <w:proofErr w:type="gramEnd"/>
      <w:r w:rsidRPr="002E48E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Фадеева</w:t>
      </w:r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,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преподаватель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кафедры гуманитарных и социально-экономических дисциплин Военно-медицинской академии имени</w:t>
      </w:r>
      <w:r w:rsidR="00551CB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С.М. Кирова, соискатель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кафедры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уголовного права и криминологии</w:t>
      </w:r>
      <w:r w:rsidR="00551CB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юридического факультета МГУ</w:t>
      </w:r>
      <w:r w:rsidRPr="002E48E4">
        <w:rPr>
          <w:rFonts w:ascii="Times New Roman" w:eastAsia="Newton-Regular" w:hAnsi="Times New Roman" w:cs="Times New Roman"/>
          <w:color w:val="FFFFFF"/>
          <w:sz w:val="24"/>
          <w:szCs w:val="24"/>
          <w:lang w:val="ru-RU"/>
        </w:rPr>
        <w:t>11</w:t>
      </w:r>
    </w:p>
    <w:p w14:paraId="022B8591" w14:textId="77777777" w:rsidR="00551CB4" w:rsidRDefault="00551CB4" w:rsidP="00F33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56F65CA" w14:textId="7B2FF512" w:rsidR="003F4F93" w:rsidRPr="002E48E4" w:rsidRDefault="003F4F93" w:rsidP="00F33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E48E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Квалификаци</w:t>
      </w:r>
      <w:r w:rsidR="00551CB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Pr="002E48E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преступлений,</w:t>
      </w:r>
      <w:r w:rsidR="00551CB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48E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совершенных медицинскими работниками,</w:t>
      </w:r>
      <w:r w:rsidR="00551CB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48E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 ст. 238 УК РФ: вопросы теории и практики</w:t>
      </w:r>
    </w:p>
    <w:p w14:paraId="2EB1DEB4" w14:textId="77777777" w:rsidR="00551CB4" w:rsidRDefault="00551CB4" w:rsidP="00F33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</w:pPr>
    </w:p>
    <w:p w14:paraId="725C3BC2" w14:textId="6CDF8391" w:rsidR="003F4F93" w:rsidRPr="002E48E4" w:rsidRDefault="003F4F93" w:rsidP="00F33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</w:pPr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В настоящей статье поднимается вопрос о целесообразности применения</w:t>
      </w:r>
      <w:r w:rsidR="00551CB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ст. 238 УК РФ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при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квалификации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преступлений, совершенных медицинскими работниками в сфере их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профессиональной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деятельности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. Автор рассматривает</w:t>
      </w:r>
      <w:r w:rsidR="00551CB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отдельные вопросы теории квалификации преступлений, обращаясь к трудам</w:t>
      </w:r>
      <w:r w:rsidR="00551CB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известных ученых. В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статье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также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исследованы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официальные акты высших судебных органов, дан анализ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правоприменительной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практики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.</w:t>
      </w:r>
    </w:p>
    <w:p w14:paraId="55BA8EAA" w14:textId="77777777" w:rsidR="00551CB4" w:rsidRDefault="00551CB4" w:rsidP="00F33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</w:p>
    <w:p w14:paraId="60CE815B" w14:textId="69312DDF" w:rsidR="003F4F93" w:rsidRPr="00551CB4" w:rsidRDefault="003F4F93" w:rsidP="00F33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</w:pPr>
      <w:r w:rsidRPr="002E48E4">
        <w:rPr>
          <w:rFonts w:ascii="Times New Roman" w:eastAsia="Newton-BoldItalic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Ключевые слова: </w:t>
      </w:r>
      <w:r w:rsidRPr="002E48E4"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  <w:t>состав преступления, формальный состав, материальный состав, возможность наступления вреда, субъективная сторона престу</w:t>
      </w:r>
      <w:r w:rsidRPr="00551CB4"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  <w:t>пления, преступное последствие.</w:t>
      </w:r>
    </w:p>
    <w:p w14:paraId="56B7CE84" w14:textId="77777777" w:rsidR="00551CB4" w:rsidRDefault="00551CB4" w:rsidP="00F33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</w:p>
    <w:p w14:paraId="6177367E" w14:textId="6B718F8A" w:rsidR="003F4F93" w:rsidRPr="002E48E4" w:rsidRDefault="003F4F93" w:rsidP="00F33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>The article raises the question of the appropriateness of applying Art. 238 of the</w:t>
      </w:r>
      <w:r w:rsidR="00551CB4" w:rsidRPr="00551CB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>Criminal Code of the Russian Federation for the qualification of crimes committed by</w:t>
      </w:r>
      <w:r w:rsidR="00551CB4" w:rsidRPr="00551CB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>medical workers in the field of professional activity. The author examines certain issues</w:t>
      </w:r>
      <w:r w:rsidR="00551CB4" w:rsidRPr="00551CB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>of the theory of qualification of crimes, referring to the works of famous scientists. The</w:t>
      </w:r>
      <w:r w:rsidR="00551CB4" w:rsidRPr="00551CB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>article also examines the official acts of the highest judicial bodies, analyzes the law</w:t>
      </w:r>
      <w:r w:rsidR="00551CB4" w:rsidRPr="00551CB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>enforcement practice.</w:t>
      </w:r>
    </w:p>
    <w:p w14:paraId="558DC3F6" w14:textId="77777777" w:rsidR="00551CB4" w:rsidRDefault="00551CB4" w:rsidP="00F33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</w:pPr>
    </w:p>
    <w:p w14:paraId="7D362EB1" w14:textId="32CF33AE" w:rsidR="003F4F93" w:rsidRPr="002E48E4" w:rsidRDefault="003F4F93" w:rsidP="00F33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E48E4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  <w:t xml:space="preserve">Keywords: </w:t>
      </w:r>
      <w:r w:rsidRPr="002E48E4">
        <w:rPr>
          <w:rFonts w:ascii="Times New Roman" w:eastAsia="Newton-Regular" w:hAnsi="Times New Roman" w:cs="Times New Roman"/>
          <w:sz w:val="24"/>
          <w:szCs w:val="24"/>
        </w:rPr>
        <w:t>corpus delicti, formal corpus delicti, material corpus delicti, possibility</w:t>
      </w:r>
      <w:r w:rsidR="00551CB4" w:rsidRPr="00551CB4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E48E4">
        <w:rPr>
          <w:rFonts w:ascii="Times New Roman" w:eastAsia="Newton-Regular" w:hAnsi="Times New Roman" w:cs="Times New Roman"/>
          <w:sz w:val="24"/>
          <w:szCs w:val="24"/>
        </w:rPr>
        <w:t>of harm, subjective side of the crime, criminal consequence.</w:t>
      </w:r>
    </w:p>
    <w:p w14:paraId="2A01A509" w14:textId="77777777" w:rsidR="00551CB4" w:rsidRDefault="00551CB4" w:rsidP="00F33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</w:p>
    <w:p w14:paraId="698864AD" w14:textId="5346CD20" w:rsidR="003F4F93" w:rsidRPr="002E48E4" w:rsidRDefault="003F4F93" w:rsidP="00F33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  <w:r w:rsidRPr="002E48E4">
        <w:rPr>
          <w:rFonts w:ascii="Times New Roman" w:eastAsia="Newton-Regular" w:hAnsi="Times New Roman" w:cs="Times New Roman"/>
          <w:sz w:val="24"/>
          <w:szCs w:val="24"/>
          <w:lang w:val="ru-RU"/>
        </w:rPr>
        <w:t>Проблемы конституционного</w:t>
      </w:r>
      <w:r w:rsidR="00551CB4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 </w:t>
      </w:r>
      <w:r w:rsidRPr="002E48E4">
        <w:rPr>
          <w:rFonts w:ascii="Times New Roman" w:eastAsia="Newton-Regular" w:hAnsi="Times New Roman" w:cs="Times New Roman"/>
          <w:sz w:val="24"/>
          <w:szCs w:val="24"/>
          <w:lang w:val="ru-RU"/>
        </w:rPr>
        <w:t>и муниципального права</w:t>
      </w:r>
    </w:p>
    <w:p w14:paraId="2B5FBC9C" w14:textId="77777777" w:rsidR="00551CB4" w:rsidRDefault="00551CB4" w:rsidP="00F33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</w:pPr>
    </w:p>
    <w:p w14:paraId="65FE476A" w14:textId="34184554" w:rsidR="003F4F93" w:rsidRPr="002E48E4" w:rsidRDefault="003F4F93" w:rsidP="00F33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proofErr w:type="gramStart"/>
      <w:r w:rsidRPr="002E48E4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>Д.Г.</w:t>
      </w:r>
      <w:proofErr w:type="gramEnd"/>
      <w:r w:rsidRPr="002E48E4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 xml:space="preserve"> Шустров,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кандидат юридических наук, доцент кафедры конституционного и муниципального права юридического факультета МГУ</w:t>
      </w:r>
    </w:p>
    <w:p w14:paraId="07226FCB" w14:textId="77777777" w:rsidR="00551CB4" w:rsidRDefault="00551CB4" w:rsidP="00F33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sz w:val="24"/>
          <w:szCs w:val="24"/>
        </w:rPr>
      </w:pPr>
    </w:p>
    <w:p w14:paraId="51586145" w14:textId="39808D6B" w:rsidR="003F4F93" w:rsidRPr="00551CB4" w:rsidRDefault="003F4F93" w:rsidP="00F33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</w:pPr>
      <w:r w:rsidRPr="00551CB4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>Понятие толкования</w:t>
      </w:r>
      <w:r w:rsidR="00551CB4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51CB4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>в конституционном праве</w:t>
      </w:r>
    </w:p>
    <w:p w14:paraId="00B275DA" w14:textId="77777777" w:rsidR="00551CB4" w:rsidRDefault="00551CB4" w:rsidP="00F33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</w:p>
    <w:p w14:paraId="4C9CC47F" w14:textId="069566BA" w:rsidR="003F4F93" w:rsidRPr="002E48E4" w:rsidRDefault="003F4F93" w:rsidP="00F33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Понятие толкования в конституционном праве охватывает широкий круг</w:t>
      </w:r>
      <w:r w:rsidR="00551CB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значений, каждое из которых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связывает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определение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смысла текста с решением той или иной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задачи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,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выполнением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определенной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функции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. Определить смысл</w:t>
      </w:r>
      <w:r w:rsidR="00551CB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текста означает не только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познать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,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описать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и объяснить, решить и применить, но также соблюдать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интерпретационные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правила, быть участником или</w:t>
      </w:r>
      <w:r w:rsidR="00551CB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наблюдателем процесса толкования,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lastRenderedPageBreak/>
        <w:t>вступать в интерпретационный диалог, а</w:t>
      </w:r>
      <w:r w:rsidR="00551CB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в ряде случаев конкретизировать,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развивать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и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даже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формировать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право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.</w:t>
      </w:r>
    </w:p>
    <w:p w14:paraId="11ABEA5A" w14:textId="77777777" w:rsidR="00551CB4" w:rsidRDefault="00551CB4" w:rsidP="00F33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7071E38B" w14:textId="39342AFE" w:rsidR="003F4F93" w:rsidRPr="002E48E4" w:rsidRDefault="003F4F93" w:rsidP="00F33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  <w:r w:rsidRPr="002E48E4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  <w:t xml:space="preserve">Ключевые слова: </w:t>
      </w:r>
      <w:r w:rsidRPr="002E48E4">
        <w:rPr>
          <w:rFonts w:ascii="Times New Roman" w:eastAsia="Newton-Regular" w:hAnsi="Times New Roman" w:cs="Times New Roman"/>
          <w:sz w:val="24"/>
          <w:szCs w:val="24"/>
          <w:lang w:val="ru-RU"/>
        </w:rPr>
        <w:t>толкование, интерпретация, конституционное право,</w:t>
      </w:r>
      <w:r w:rsidR="00551CB4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 </w:t>
      </w:r>
      <w:r w:rsidRPr="002E48E4">
        <w:rPr>
          <w:rFonts w:ascii="Times New Roman" w:eastAsia="Newton-Regular" w:hAnsi="Times New Roman" w:cs="Times New Roman"/>
          <w:sz w:val="24"/>
          <w:szCs w:val="24"/>
          <w:lang w:val="ru-RU"/>
        </w:rPr>
        <w:t>живая конституция, Конституционный Суд РФ.</w:t>
      </w:r>
    </w:p>
    <w:p w14:paraId="4D0F940B" w14:textId="77777777" w:rsidR="00551CB4" w:rsidRDefault="00551CB4" w:rsidP="00F33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</w:p>
    <w:p w14:paraId="2B108CC9" w14:textId="70025C33" w:rsidR="003F4F93" w:rsidRPr="002E48E4" w:rsidRDefault="003F4F93" w:rsidP="00F33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>The concept of interpretation in constitutional law covers a wide range of meanings,</w:t>
      </w:r>
      <w:r w:rsidR="00551CB4" w:rsidRPr="00551CB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each of which relates the definition of the meaning of the text to solution of a </w:t>
      </w:r>
      <w:proofErr w:type="gram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>particular</w:t>
      </w:r>
      <w:r w:rsidR="00551CB4" w:rsidRPr="00551CB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>task</w:t>
      </w:r>
      <w:proofErr w:type="gram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>, and to performance of a certain function. Defining the meaning of a text means not</w:t>
      </w:r>
      <w:r w:rsidR="00551CB4" w:rsidRPr="00551CB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>only to know, describe and explain, to solve and apply, but also to observe interpretation</w:t>
      </w:r>
      <w:r w:rsidR="00551CB4" w:rsidRPr="00551CB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>rules, be a participant or observer of the interpretation process, enter into an interpretation</w:t>
      </w:r>
      <w:r w:rsidR="00551CB4" w:rsidRPr="00551CB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>dialogue, and in some cases, concretize, develop and even shape the law.</w:t>
      </w:r>
    </w:p>
    <w:p w14:paraId="55A4293B" w14:textId="77777777" w:rsidR="00551CB4" w:rsidRDefault="00551CB4" w:rsidP="00F33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</w:pPr>
    </w:p>
    <w:p w14:paraId="55247972" w14:textId="340B4EB6" w:rsidR="003F4F93" w:rsidRPr="002E48E4" w:rsidRDefault="003F4F93" w:rsidP="00F33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E48E4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  <w:t xml:space="preserve">Keywords: </w:t>
      </w:r>
      <w:r w:rsidRPr="002E48E4">
        <w:rPr>
          <w:rFonts w:ascii="Times New Roman" w:eastAsia="Newton-Regular" w:hAnsi="Times New Roman" w:cs="Times New Roman"/>
          <w:sz w:val="24"/>
          <w:szCs w:val="24"/>
        </w:rPr>
        <w:t>interpretation, construction, constitutional law, living constitution,</w:t>
      </w:r>
      <w:r w:rsidR="00551CB4" w:rsidRPr="00551CB4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E48E4">
        <w:rPr>
          <w:rFonts w:ascii="Times New Roman" w:eastAsia="Newton-Regular" w:hAnsi="Times New Roman" w:cs="Times New Roman"/>
          <w:sz w:val="24"/>
          <w:szCs w:val="24"/>
        </w:rPr>
        <w:t>Constitutional Court of the Russian Federation.</w:t>
      </w:r>
    </w:p>
    <w:p w14:paraId="535C7A9E" w14:textId="77777777" w:rsidR="00551CB4" w:rsidRDefault="00551CB4" w:rsidP="00F33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</w:pPr>
    </w:p>
    <w:p w14:paraId="168755CE" w14:textId="30D76C24" w:rsidR="003F4F93" w:rsidRPr="002E48E4" w:rsidRDefault="003F4F93" w:rsidP="00F33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</w:pPr>
      <w:r w:rsidRPr="002E48E4"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  <w:t>Трибуна молодых ученых</w:t>
      </w:r>
    </w:p>
    <w:p w14:paraId="236BE6D3" w14:textId="77777777" w:rsidR="00551CB4" w:rsidRDefault="00551CB4" w:rsidP="00F33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9CBF101" w14:textId="2780D873" w:rsidR="003F4F93" w:rsidRPr="00551CB4" w:rsidRDefault="003F4F93" w:rsidP="00F33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</w:pPr>
      <w:proofErr w:type="gramStart"/>
      <w:r w:rsidRPr="002E48E4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>Г.Т.</w:t>
      </w:r>
      <w:proofErr w:type="gramEnd"/>
      <w:r w:rsidRPr="002E48E4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 xml:space="preserve"> Батырев, </w:t>
      </w:r>
      <w:r w:rsidRPr="002E48E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магистр юриспруденции, ведущий юрисконсульт Центрального</w:t>
      </w:r>
      <w:r w:rsidR="00551CB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551CB4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банка РФ</w:t>
      </w:r>
      <w:r w:rsidRPr="00551CB4">
        <w:rPr>
          <w:rFonts w:ascii="Times New Roman" w:eastAsia="Newton-Regular" w:hAnsi="Times New Roman" w:cs="Times New Roman"/>
          <w:color w:val="FFFFFF"/>
          <w:sz w:val="24"/>
          <w:szCs w:val="24"/>
          <w:lang w:val="ru-RU"/>
        </w:rPr>
        <w:t>65</w:t>
      </w:r>
    </w:p>
    <w:p w14:paraId="1D62F387" w14:textId="77777777" w:rsidR="00551CB4" w:rsidRDefault="00551CB4" w:rsidP="00F33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</w:rPr>
      </w:pPr>
    </w:p>
    <w:p w14:paraId="2AD8F474" w14:textId="4906E405" w:rsidR="003F4F93" w:rsidRPr="00551CB4" w:rsidRDefault="003F4F93" w:rsidP="00F33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</w:pPr>
      <w:r w:rsidRPr="002E48E4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</w:rPr>
        <w:t>Pacta</w:t>
      </w:r>
      <w:r w:rsidRPr="00551CB4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48E4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</w:rPr>
        <w:t>sunt</w:t>
      </w:r>
      <w:r w:rsidRPr="00551CB4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E48E4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</w:rPr>
        <w:t>servanda</w:t>
      </w:r>
      <w:proofErr w:type="spellEnd"/>
      <w:r w:rsidRPr="00551CB4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>: эволюция</w:t>
      </w:r>
      <w:r w:rsidR="00551CB4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51CB4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>и неоднозначность внутреннего содержания</w:t>
      </w:r>
    </w:p>
    <w:p w14:paraId="7C221C5B" w14:textId="77777777" w:rsidR="00551CB4" w:rsidRDefault="00551CB4" w:rsidP="00F33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</w:p>
    <w:p w14:paraId="5015B9A9" w14:textId="3A71166A" w:rsidR="003F4F93" w:rsidRPr="002E48E4" w:rsidRDefault="003F4F93" w:rsidP="00F33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Один из центральных принципов договорного права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>pacta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>sunt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>servanda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является общепризнанным в правовой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науке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и основывается на ряде философско-правовых теорий, самыми распространенными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из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которых являются теория обещания,</w:t>
      </w:r>
      <w:r w:rsidR="00551CB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волевая теория, а также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теория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эффективности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. Изучение этих теорий-обоснований позволяет</w:t>
      </w:r>
      <w:r w:rsidR="00551CB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констатировать отсутствие исторической преемственности</w:t>
      </w:r>
      <w:r w:rsidR="00551CB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между первоначальным и последующими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значениями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принципа, а также отсутствие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консенсусной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точки зрения в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доктрине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. Кроме того, различные основания</w:t>
      </w:r>
      <w:r w:rsidR="00551CB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>pacta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>sunt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>servanda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имеют</w:t>
      </w:r>
      <w:r w:rsidR="00551CB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разнонаправленный и подчас взаимоисключающий характер.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Наконец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,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ни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одна из них н</w:t>
      </w:r>
      <w:r w:rsidR="00551CB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е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имеет логической связи с правовой природой</w:t>
      </w:r>
      <w:r w:rsidR="00551CB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договора, а опирается на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более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общие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правовые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и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философские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понятия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. При таких обстоятельствах вполне объяснимой предстает неоднозначность понимания</w:t>
      </w:r>
      <w:r w:rsidR="00551CB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рассмотренного принципа законодателем и правоприменителем, а также практически отсутствующая его имплементация в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позитивном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праве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.</w:t>
      </w:r>
    </w:p>
    <w:p w14:paraId="7EC064F0" w14:textId="77777777" w:rsidR="00551CB4" w:rsidRDefault="00551CB4" w:rsidP="00F33421">
      <w:pPr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57851963" w14:textId="1F75A179" w:rsidR="003F4F93" w:rsidRPr="002E48E4" w:rsidRDefault="003F4F93" w:rsidP="00F33421">
      <w:pPr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  <w:r w:rsidRPr="002E48E4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  <w:t>Ключевые слова</w:t>
      </w:r>
      <w:r w:rsidRPr="002E48E4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: </w:t>
      </w:r>
      <w:r w:rsidRPr="002E48E4">
        <w:rPr>
          <w:rFonts w:ascii="Times New Roman" w:eastAsia="Newton-Regular" w:hAnsi="Times New Roman" w:cs="Times New Roman"/>
          <w:sz w:val="24"/>
          <w:szCs w:val="24"/>
        </w:rPr>
        <w:t>pacta</w:t>
      </w:r>
      <w:r w:rsidRPr="002E48E4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 </w:t>
      </w:r>
      <w:r w:rsidRPr="002E48E4">
        <w:rPr>
          <w:rFonts w:ascii="Times New Roman" w:eastAsia="Newton-Regular" w:hAnsi="Times New Roman" w:cs="Times New Roman"/>
          <w:sz w:val="24"/>
          <w:szCs w:val="24"/>
        </w:rPr>
        <w:t>sunt</w:t>
      </w:r>
      <w:r w:rsidRPr="002E48E4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48E4">
        <w:rPr>
          <w:rFonts w:ascii="Times New Roman" w:eastAsia="Newton-Regular" w:hAnsi="Times New Roman" w:cs="Times New Roman"/>
          <w:sz w:val="24"/>
          <w:szCs w:val="24"/>
        </w:rPr>
        <w:t>servanda</w:t>
      </w:r>
      <w:proofErr w:type="spellEnd"/>
      <w:r w:rsidRPr="002E48E4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E48E4">
        <w:rPr>
          <w:rFonts w:ascii="Times New Roman" w:eastAsia="Newton-Regular" w:hAnsi="Times New Roman" w:cs="Times New Roman"/>
          <w:sz w:val="24"/>
          <w:szCs w:val="24"/>
          <w:lang w:val="ru-RU"/>
        </w:rPr>
        <w:t>обещание</w:t>
      </w:r>
      <w:proofErr w:type="spellEnd"/>
      <w:r w:rsidRPr="002E48E4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E48E4">
        <w:rPr>
          <w:rFonts w:ascii="Times New Roman" w:eastAsia="Newton-Regular" w:hAnsi="Times New Roman" w:cs="Times New Roman"/>
          <w:sz w:val="24"/>
          <w:szCs w:val="24"/>
          <w:lang w:val="ru-RU"/>
        </w:rPr>
        <w:t>обязательство</w:t>
      </w:r>
      <w:proofErr w:type="spellEnd"/>
      <w:r w:rsidRPr="002E48E4">
        <w:rPr>
          <w:rFonts w:ascii="Times New Roman" w:eastAsia="Newton-Regular" w:hAnsi="Times New Roman" w:cs="Times New Roman"/>
          <w:sz w:val="24"/>
          <w:szCs w:val="24"/>
          <w:lang w:val="ru-RU"/>
        </w:rPr>
        <w:t>.</w:t>
      </w:r>
    </w:p>
    <w:p w14:paraId="69726418" w14:textId="77777777" w:rsidR="00551CB4" w:rsidRDefault="00551CB4" w:rsidP="00F33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</w:p>
    <w:p w14:paraId="66D62467" w14:textId="3483BBA7" w:rsidR="003F4F93" w:rsidRPr="002E48E4" w:rsidRDefault="003F4F93" w:rsidP="00F33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One of the central principles of contract law — pacta sunt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>servanda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— is universally</w:t>
      </w:r>
      <w:r w:rsidR="00F33421" w:rsidRPr="00F33421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>recognized in legal doctrine and is based on a number of philosophical and legal</w:t>
      </w:r>
      <w:r w:rsidR="00551CB4" w:rsidRPr="00551CB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>theories, the most common of which are “Promise Theory”, “Theory of Will”, as well</w:t>
      </w:r>
      <w:r w:rsidR="00551CB4" w:rsidRPr="00551CB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>as “Efficiency Theory”. The study of these theories allows us to state the absence of</w:t>
      </w:r>
      <w:r w:rsidR="00551CB4" w:rsidRPr="00551CB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>historical continuity between the original and subsequent meanings of the principle, and</w:t>
      </w:r>
      <w:r w:rsidR="00551CB4" w:rsidRPr="00551CB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>lack of a concurrent point of view within the doctrine. In addition, various foundations</w:t>
      </w:r>
      <w:r w:rsidR="00551CB4" w:rsidRPr="00551CB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of pacta sunt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>servanda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are multidirectional and sometimes mutually exclusive. Finally,</w:t>
      </w:r>
      <w:r w:rsidR="00551CB4" w:rsidRPr="00551CB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>none of them has a logical connection with the legal nature of contract,</w:t>
      </w:r>
      <w:r w:rsidR="00551CB4" w:rsidRPr="00551CB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>but relies on more</w:t>
      </w:r>
      <w:r w:rsidR="00551CB4" w:rsidRPr="00551CB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general legal and philosophical concepts. Under such circumstances, the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lastRenderedPageBreak/>
        <w:t>ambiguity of</w:t>
      </w:r>
      <w:r w:rsidR="00551CB4" w:rsidRPr="00551CB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>understanding of the principle by legislators and judges, as well as its practically absent</w:t>
      </w:r>
      <w:r w:rsidR="00551CB4" w:rsidRPr="00551CB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>implementation in positive law, seems</w:t>
      </w:r>
      <w:r w:rsidR="00551CB4" w:rsidRPr="00551CB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>quite understandable.</w:t>
      </w:r>
    </w:p>
    <w:p w14:paraId="2E50035A" w14:textId="77777777" w:rsidR="00551CB4" w:rsidRDefault="00551CB4" w:rsidP="00F33421">
      <w:pPr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</w:pPr>
    </w:p>
    <w:p w14:paraId="7F2B9F1B" w14:textId="77777777" w:rsidR="00551CB4" w:rsidRDefault="003F4F93" w:rsidP="00F33421">
      <w:pPr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E48E4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  <w:t xml:space="preserve">Keywords: </w:t>
      </w:r>
      <w:r w:rsidRPr="002E48E4">
        <w:rPr>
          <w:rFonts w:ascii="Times New Roman" w:eastAsia="Newton-Regular" w:hAnsi="Times New Roman" w:cs="Times New Roman"/>
          <w:sz w:val="24"/>
          <w:szCs w:val="24"/>
        </w:rPr>
        <w:t xml:space="preserve">pacta sunt </w:t>
      </w:r>
      <w:proofErr w:type="spellStart"/>
      <w:r w:rsidRPr="002E48E4">
        <w:rPr>
          <w:rFonts w:ascii="Times New Roman" w:eastAsia="Newton-Regular" w:hAnsi="Times New Roman" w:cs="Times New Roman"/>
          <w:sz w:val="24"/>
          <w:szCs w:val="24"/>
        </w:rPr>
        <w:t>servanda</w:t>
      </w:r>
      <w:proofErr w:type="spellEnd"/>
      <w:r w:rsidRPr="002E48E4">
        <w:rPr>
          <w:rFonts w:ascii="Times New Roman" w:eastAsia="Newton-Regular" w:hAnsi="Times New Roman" w:cs="Times New Roman"/>
          <w:sz w:val="24"/>
          <w:szCs w:val="24"/>
        </w:rPr>
        <w:t>, promise, commitment.</w:t>
      </w:r>
      <w:r w:rsidR="00551CB4" w:rsidRPr="00551CB4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</w:p>
    <w:p w14:paraId="270293E7" w14:textId="77777777" w:rsidR="00551CB4" w:rsidRDefault="00551CB4" w:rsidP="00F33421">
      <w:pPr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14:paraId="0C7451E2" w14:textId="28C37A24" w:rsidR="003F4F93" w:rsidRPr="00551CB4" w:rsidRDefault="003F4F93" w:rsidP="00F33421">
      <w:pPr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  <w:r w:rsidRPr="002E48E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Ян </w:t>
      </w:r>
      <w:proofErr w:type="spellStart"/>
      <w:r w:rsidRPr="002E48E4">
        <w:rPr>
          <w:rFonts w:ascii="Times New Roman" w:hAnsi="Times New Roman" w:cs="Times New Roman"/>
          <w:b/>
          <w:bCs/>
          <w:sz w:val="24"/>
          <w:szCs w:val="24"/>
          <w:lang w:val="ru-RU"/>
        </w:rPr>
        <w:t>Тяньфан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, аспирант кафедры предпринимательского права юридического факультета МГУ</w:t>
      </w:r>
    </w:p>
    <w:p w14:paraId="7D04AAE3" w14:textId="77777777" w:rsidR="00551CB4" w:rsidRDefault="00551CB4" w:rsidP="00F33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FCC2726" w14:textId="45B885CD" w:rsidR="003F4F93" w:rsidRPr="00F33421" w:rsidRDefault="003F4F93" w:rsidP="00F33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E48E4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Корпоративное управление</w:t>
      </w:r>
      <w:r w:rsidR="00551CB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E48E4">
        <w:rPr>
          <w:rFonts w:ascii="Times New Roman" w:hAnsi="Times New Roman" w:cs="Times New Roman"/>
          <w:b/>
          <w:bCs/>
          <w:sz w:val="24"/>
          <w:szCs w:val="24"/>
          <w:lang w:val="ru-RU"/>
        </w:rPr>
        <w:t>с китайской спецификой: роль компартии</w:t>
      </w:r>
      <w:r w:rsidR="00F3342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33421">
        <w:rPr>
          <w:rFonts w:ascii="Times New Roman" w:hAnsi="Times New Roman" w:cs="Times New Roman"/>
          <w:b/>
          <w:bCs/>
          <w:sz w:val="24"/>
          <w:szCs w:val="24"/>
          <w:lang w:val="ru-RU"/>
        </w:rPr>
        <w:t>Китая в управлении госпредприятиями</w:t>
      </w:r>
    </w:p>
    <w:p w14:paraId="598C0B5D" w14:textId="77777777" w:rsidR="00551CB4" w:rsidRDefault="00551CB4" w:rsidP="00F33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</w:p>
    <w:p w14:paraId="18D7BEF7" w14:textId="5D5ADE95" w:rsidR="003F4F93" w:rsidRPr="002E48E4" w:rsidRDefault="003F4F93" w:rsidP="00F33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Существование в корпорациях </w:t>
      </w:r>
      <w:r w:rsidR="00551CB4">
        <w:rPr>
          <w:rFonts w:ascii="Cambria Math" w:eastAsia="Newton-Italic" w:hAnsi="Cambria Math" w:cs="Cambria Math"/>
          <w:i/>
          <w:iCs/>
          <w:sz w:val="24"/>
          <w:szCs w:val="24"/>
          <w:lang w:val="ru-RU"/>
        </w:rPr>
        <w:t>«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партийной организации</w:t>
      </w:r>
      <w:r w:rsidR="00551CB4">
        <w:rPr>
          <w:rFonts w:ascii="Cambria Math" w:eastAsia="Newton-Italic" w:hAnsi="Cambria Math" w:cs="Cambria Math"/>
          <w:i/>
          <w:iCs/>
          <w:sz w:val="24"/>
          <w:szCs w:val="24"/>
          <w:lang w:val="ru-RU"/>
        </w:rPr>
        <w:t>»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является одной из</w:t>
      </w:r>
      <w:r w:rsidR="00F33421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особенностей корпоративного управления в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Китае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. В данной статье рассмотрены проблемы участия компартии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Китая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в корпоративном управлении государственными предприятиями. Проанализированы предубеждения и недопонимания</w:t>
      </w:r>
      <w:r w:rsidR="00F33421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правового значения данного участия, обоснованы легитимность, целесообразность и преимущества данного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участия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. На основе проведенного исследования</w:t>
      </w:r>
      <w:r w:rsidR="00F33421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автор предлагает усовершенствовать законодательство, с тем чтобы сделать</w:t>
      </w:r>
      <w:r w:rsidR="00F33421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статус партийных организаций более определенным в структуре корпоративного управления.</w:t>
      </w:r>
    </w:p>
    <w:p w14:paraId="28F84AA4" w14:textId="77777777" w:rsidR="00F33421" w:rsidRDefault="00F33421" w:rsidP="00F33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4CF62BF1" w14:textId="52050FA8" w:rsidR="003F4F93" w:rsidRPr="00F33421" w:rsidRDefault="003F4F93" w:rsidP="00F33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  <w:r w:rsidRPr="002E48E4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  <w:t xml:space="preserve">Ключевые слова: </w:t>
      </w:r>
      <w:r w:rsidRPr="002E48E4">
        <w:rPr>
          <w:rFonts w:ascii="Times New Roman" w:eastAsia="Newton-Regular" w:hAnsi="Times New Roman" w:cs="Times New Roman"/>
          <w:sz w:val="24"/>
          <w:szCs w:val="24"/>
          <w:lang w:val="ru-RU"/>
        </w:rPr>
        <w:t>Китай, корпоративное управление, государственное</w:t>
      </w:r>
      <w:r w:rsidR="00F33421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 </w:t>
      </w:r>
      <w:r w:rsidRPr="002E48E4">
        <w:rPr>
          <w:rFonts w:ascii="Times New Roman" w:eastAsia="Newton-Regular" w:hAnsi="Times New Roman" w:cs="Times New Roman"/>
          <w:sz w:val="24"/>
          <w:szCs w:val="24"/>
          <w:lang w:val="ru-RU"/>
        </w:rPr>
        <w:t>предприятие, Коммунистическая партия Китая, легитимность, корпоратив</w:t>
      </w:r>
      <w:r w:rsidRPr="00F33421">
        <w:rPr>
          <w:rFonts w:ascii="Times New Roman" w:eastAsia="Newton-Regular" w:hAnsi="Times New Roman" w:cs="Times New Roman"/>
          <w:sz w:val="24"/>
          <w:szCs w:val="24"/>
          <w:lang w:val="ru-RU"/>
        </w:rPr>
        <w:t>ная структура.</w:t>
      </w:r>
    </w:p>
    <w:p w14:paraId="71E81AEB" w14:textId="77777777" w:rsidR="00F33421" w:rsidRDefault="00F33421" w:rsidP="00F33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</w:p>
    <w:p w14:paraId="6A69B8CA" w14:textId="52D24870" w:rsidR="003F4F93" w:rsidRPr="002E48E4" w:rsidRDefault="003F4F93" w:rsidP="00F33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>The existence of a “party organization” in corporations is one of the features of</w:t>
      </w:r>
      <w:r w:rsidR="00F33421" w:rsidRPr="00F33421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>corporate governance in China. This article discusses the problems of the participation</w:t>
      </w:r>
      <w:r w:rsidR="00F33421" w:rsidRPr="00F33421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>of the Chinese Communist Party in the corporate governance of state-owned enterprises</w:t>
      </w:r>
      <w:r w:rsidR="00F33421" w:rsidRPr="00F33421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in China. At the same </w:t>
      </w:r>
      <w:proofErr w:type="gram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>time</w:t>
      </w:r>
      <w:proofErr w:type="gram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the prejudices and misunderstandings of the legal significance</w:t>
      </w:r>
      <w:r w:rsidR="00F33421" w:rsidRPr="00F33421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>of this participation are analyzed, the legitimacy, expediency and advantages of this participation</w:t>
      </w:r>
      <w:r w:rsidR="00F33421" w:rsidRPr="00F33421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are justified. Based on the study, the author proposes to improve legislation </w:t>
      </w:r>
      <w:proofErr w:type="gram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>in</w:t>
      </w:r>
      <w:r w:rsidR="00F33421" w:rsidRPr="00F33421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>order to</w:t>
      </w:r>
      <w:proofErr w:type="gram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make the status of party organizations more defined in the structure of corporate</w:t>
      </w:r>
      <w:r w:rsidR="00F33421" w:rsidRPr="00F33421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</w:rPr>
        <w:t>governance.</w:t>
      </w:r>
    </w:p>
    <w:p w14:paraId="5B559624" w14:textId="77777777" w:rsidR="00F33421" w:rsidRDefault="00F33421" w:rsidP="00F33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</w:pPr>
    </w:p>
    <w:p w14:paraId="5E834AA6" w14:textId="79482EC2" w:rsidR="003F4F93" w:rsidRPr="002E48E4" w:rsidRDefault="003F4F93" w:rsidP="00F33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E48E4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  <w:t xml:space="preserve">Keywords: </w:t>
      </w:r>
      <w:r w:rsidRPr="002E48E4">
        <w:rPr>
          <w:rFonts w:ascii="Times New Roman" w:eastAsia="Newton-Regular" w:hAnsi="Times New Roman" w:cs="Times New Roman"/>
          <w:sz w:val="24"/>
          <w:szCs w:val="24"/>
        </w:rPr>
        <w:t>China, corporate governance, state-owned enterprise, Chinese Communist</w:t>
      </w:r>
      <w:r w:rsidR="00F33421" w:rsidRPr="00F3342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E48E4">
        <w:rPr>
          <w:rFonts w:ascii="Times New Roman" w:eastAsia="Newton-Regular" w:hAnsi="Times New Roman" w:cs="Times New Roman"/>
          <w:sz w:val="24"/>
          <w:szCs w:val="24"/>
        </w:rPr>
        <w:t>Party, legitimacy, corporate structure.</w:t>
      </w:r>
    </w:p>
    <w:p w14:paraId="0EDD0007" w14:textId="77777777" w:rsidR="00F33421" w:rsidRDefault="00F33421" w:rsidP="00F33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</w:p>
    <w:p w14:paraId="0EA1445D" w14:textId="6136D02C" w:rsidR="003F4F93" w:rsidRPr="002E48E4" w:rsidRDefault="003F4F93" w:rsidP="00F33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  <w:r w:rsidRPr="002E48E4">
        <w:rPr>
          <w:rFonts w:ascii="Times New Roman" w:eastAsia="Newton-Regular" w:hAnsi="Times New Roman" w:cs="Times New Roman"/>
          <w:sz w:val="24"/>
          <w:szCs w:val="24"/>
          <w:lang w:val="ru-RU"/>
        </w:rPr>
        <w:t>Научная жизнь</w:t>
      </w:r>
    </w:p>
    <w:p w14:paraId="5086D52A" w14:textId="77777777" w:rsidR="00F33421" w:rsidRDefault="00F33421" w:rsidP="00F33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14F5B23" w14:textId="70AEFA60" w:rsidR="003F4F93" w:rsidRPr="00F33421" w:rsidRDefault="003F4F93" w:rsidP="00F33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proofErr w:type="gramStart"/>
      <w:r w:rsidRPr="002E48E4">
        <w:rPr>
          <w:rFonts w:ascii="Times New Roman" w:hAnsi="Times New Roman" w:cs="Times New Roman"/>
          <w:b/>
          <w:bCs/>
          <w:sz w:val="24"/>
          <w:szCs w:val="24"/>
          <w:lang w:val="ru-RU"/>
        </w:rPr>
        <w:t>О.Л.</w:t>
      </w:r>
      <w:proofErr w:type="gramEnd"/>
      <w:r w:rsidRPr="002E48E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Васильев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, доктор юридических наук, профессор кафедры уголовного</w:t>
      </w:r>
      <w:r w:rsidR="00F33421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процесса, правосудия и прокурорского надзора юридического факультета</w:t>
      </w:r>
      <w:r w:rsidR="00F33421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F33421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МГУ</w:t>
      </w:r>
    </w:p>
    <w:p w14:paraId="2EB25FBE" w14:textId="77777777" w:rsidR="00F33421" w:rsidRDefault="00F33421" w:rsidP="00F33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</w:pPr>
    </w:p>
    <w:p w14:paraId="2F979936" w14:textId="525C2132" w:rsidR="003F4F93" w:rsidRPr="002E48E4" w:rsidRDefault="003F4F93" w:rsidP="00F33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</w:pPr>
      <w:r w:rsidRPr="002E48E4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>Учение М. С. Строговича о материальной</w:t>
      </w:r>
      <w:r w:rsidR="00F33421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E48E4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>истине как теоретическая основа для</w:t>
      </w:r>
    </w:p>
    <w:p w14:paraId="73D21F61" w14:textId="44873549" w:rsidR="003F4F93" w:rsidRPr="00F33421" w:rsidRDefault="003F4F93" w:rsidP="00F33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</w:pPr>
      <w:r w:rsidRPr="002E48E4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>изменения вектора в реформировании</w:t>
      </w:r>
      <w:r w:rsidR="00F33421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33421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>отечественного уголовного процесса</w:t>
      </w:r>
    </w:p>
    <w:p w14:paraId="2549C280" w14:textId="77777777" w:rsidR="00F33421" w:rsidRDefault="00F33421" w:rsidP="00F33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</w:p>
    <w:p w14:paraId="366BE38B" w14:textId="1214067E" w:rsidR="003F4F93" w:rsidRPr="002E48E4" w:rsidRDefault="003F4F93" w:rsidP="00F33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  <w:proofErr w:type="spellStart"/>
      <w:r w:rsidRPr="002E48E4">
        <w:rPr>
          <w:rFonts w:ascii="Times New Roman" w:eastAsia="Newton-Regular" w:hAnsi="Times New Roman" w:cs="Times New Roman"/>
          <w:sz w:val="24"/>
          <w:szCs w:val="24"/>
          <w:lang w:val="ru-RU"/>
        </w:rPr>
        <w:t>Наши</w:t>
      </w:r>
      <w:proofErr w:type="spellEnd"/>
      <w:r w:rsidRPr="002E48E4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48E4">
        <w:rPr>
          <w:rFonts w:ascii="Times New Roman" w:eastAsia="Newton-Regular" w:hAnsi="Times New Roman" w:cs="Times New Roman"/>
          <w:sz w:val="24"/>
          <w:szCs w:val="24"/>
          <w:lang w:val="ru-RU"/>
        </w:rPr>
        <w:t>учителя</w:t>
      </w:r>
      <w:proofErr w:type="spellEnd"/>
    </w:p>
    <w:p w14:paraId="7DECE9D2" w14:textId="77777777" w:rsidR="00F33421" w:rsidRDefault="00F33421" w:rsidP="00F33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65EC9EA" w14:textId="2F8A1A44" w:rsidR="002E48E4" w:rsidRPr="00F33421" w:rsidRDefault="002E48E4" w:rsidP="00F33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proofErr w:type="gramStart"/>
      <w:r w:rsidRPr="002E48E4">
        <w:rPr>
          <w:rFonts w:ascii="Times New Roman" w:hAnsi="Times New Roman" w:cs="Times New Roman"/>
          <w:b/>
          <w:bCs/>
          <w:sz w:val="24"/>
          <w:szCs w:val="24"/>
          <w:lang w:val="ru-RU"/>
        </w:rPr>
        <w:t>Д.Д.</w:t>
      </w:r>
      <w:proofErr w:type="gramEnd"/>
      <w:r w:rsidRPr="002E48E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Коновалов</w:t>
      </w:r>
      <w:r w:rsidRPr="002E48E4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инспектор</w:t>
      </w:r>
      <w:proofErr w:type="spellEnd"/>
      <w:r w:rsidRPr="002E48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по контролю за исполнением поручений, сотрудник музея истории юридического факультета МГУ</w:t>
      </w:r>
    </w:p>
    <w:p w14:paraId="0BE79A52" w14:textId="77777777" w:rsidR="00F33421" w:rsidRDefault="00F33421" w:rsidP="00F33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</w:pPr>
    </w:p>
    <w:p w14:paraId="13EA85C2" w14:textId="62DB858A" w:rsidR="003F4F93" w:rsidRPr="00F33421" w:rsidRDefault="003F4F93" w:rsidP="00F33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</w:pPr>
      <w:r w:rsidRPr="002E48E4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>По долгу памяти.</w:t>
      </w:r>
      <w:r w:rsidR="00F33421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33421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>Дмитрий Степанович Карев</w:t>
      </w:r>
    </w:p>
    <w:p w14:paraId="79A980C5" w14:textId="77777777" w:rsidR="003F4F93" w:rsidRPr="00F33421" w:rsidRDefault="003F4F93" w:rsidP="00F33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57BADC" w14:textId="1FA870BA" w:rsidR="001F50D3" w:rsidRPr="00F33421" w:rsidRDefault="001F50D3" w:rsidP="005379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BF94B24" w14:textId="45C46710" w:rsidR="001F50D3" w:rsidRPr="00F33421" w:rsidRDefault="001F50D3" w:rsidP="005379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AB2B97D" w14:textId="5582C0BB" w:rsidR="001F50D3" w:rsidRPr="00F33421" w:rsidRDefault="001F50D3" w:rsidP="005379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428BB59" w14:textId="79A81102" w:rsidR="001F50D3" w:rsidRPr="00F33421" w:rsidRDefault="001F50D3" w:rsidP="005379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FA16519" w14:textId="2DB05529" w:rsidR="001F50D3" w:rsidRPr="00F33421" w:rsidRDefault="001F50D3" w:rsidP="005379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0BFE101" w14:textId="3C27DEC5" w:rsidR="001F50D3" w:rsidRPr="00F33421" w:rsidRDefault="001F50D3" w:rsidP="005379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09A0B9F" w14:textId="10BCCDB9" w:rsidR="001F50D3" w:rsidRPr="00F33421" w:rsidRDefault="001F50D3" w:rsidP="005379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62CE875" w14:textId="73DE9775" w:rsidR="001F50D3" w:rsidRPr="00F33421" w:rsidRDefault="001F50D3" w:rsidP="005379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D65643B" w14:textId="75C307AB" w:rsidR="001F50D3" w:rsidRPr="00F33421" w:rsidRDefault="001F50D3" w:rsidP="005379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60A1BF6" w14:textId="5CDF9B7C" w:rsidR="001F50D3" w:rsidRPr="00F33421" w:rsidRDefault="001F50D3" w:rsidP="005379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95CCC33" w14:textId="4812866F" w:rsidR="001F50D3" w:rsidRPr="00F33421" w:rsidRDefault="001F50D3" w:rsidP="005379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9BC3C39" w14:textId="77777777" w:rsidR="001F50D3" w:rsidRPr="00F33421" w:rsidRDefault="001F50D3" w:rsidP="005379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4303A95" w14:textId="39443614" w:rsidR="00F72381" w:rsidRPr="00F33421" w:rsidRDefault="00F72381" w:rsidP="005379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F72381" w:rsidRPr="00F334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ton-Italic">
    <w:altName w:val="Yu Gothic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Newton-BoldItalic">
    <w:altName w:val="Yu Gothic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Newton-Regular">
    <w:altName w:val="Yu Gothic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97D"/>
    <w:rsid w:val="000012EC"/>
    <w:rsid w:val="00011986"/>
    <w:rsid w:val="00020C44"/>
    <w:rsid w:val="00025DA7"/>
    <w:rsid w:val="00026E75"/>
    <w:rsid w:val="00040FAA"/>
    <w:rsid w:val="00041D9B"/>
    <w:rsid w:val="0004656D"/>
    <w:rsid w:val="000468D5"/>
    <w:rsid w:val="000575A3"/>
    <w:rsid w:val="00060BC5"/>
    <w:rsid w:val="00094A79"/>
    <w:rsid w:val="000B11F6"/>
    <w:rsid w:val="000B3344"/>
    <w:rsid w:val="000C368D"/>
    <w:rsid w:val="000D7D1A"/>
    <w:rsid w:val="00117044"/>
    <w:rsid w:val="00121AAA"/>
    <w:rsid w:val="00132FA1"/>
    <w:rsid w:val="00134125"/>
    <w:rsid w:val="001450AB"/>
    <w:rsid w:val="001628F7"/>
    <w:rsid w:val="00163605"/>
    <w:rsid w:val="00186181"/>
    <w:rsid w:val="001B351B"/>
    <w:rsid w:val="001C58F5"/>
    <w:rsid w:val="001F50D3"/>
    <w:rsid w:val="00200B4E"/>
    <w:rsid w:val="00204124"/>
    <w:rsid w:val="0021354D"/>
    <w:rsid w:val="0024680C"/>
    <w:rsid w:val="002554BF"/>
    <w:rsid w:val="002578E0"/>
    <w:rsid w:val="00276CA3"/>
    <w:rsid w:val="002917C7"/>
    <w:rsid w:val="002958C3"/>
    <w:rsid w:val="002972C0"/>
    <w:rsid w:val="002A43EF"/>
    <w:rsid w:val="002C56F1"/>
    <w:rsid w:val="002D15A8"/>
    <w:rsid w:val="002D4A7C"/>
    <w:rsid w:val="002E48E4"/>
    <w:rsid w:val="002F1B6B"/>
    <w:rsid w:val="0031535D"/>
    <w:rsid w:val="00334CF7"/>
    <w:rsid w:val="0035538D"/>
    <w:rsid w:val="00366500"/>
    <w:rsid w:val="00366892"/>
    <w:rsid w:val="00366C5D"/>
    <w:rsid w:val="00395AA1"/>
    <w:rsid w:val="003C1349"/>
    <w:rsid w:val="003C1B4C"/>
    <w:rsid w:val="003C485A"/>
    <w:rsid w:val="003D349C"/>
    <w:rsid w:val="003E028C"/>
    <w:rsid w:val="003F4F93"/>
    <w:rsid w:val="00410E59"/>
    <w:rsid w:val="00412688"/>
    <w:rsid w:val="0041777B"/>
    <w:rsid w:val="00480682"/>
    <w:rsid w:val="00485066"/>
    <w:rsid w:val="004A3297"/>
    <w:rsid w:val="004E0064"/>
    <w:rsid w:val="004E63EA"/>
    <w:rsid w:val="00523270"/>
    <w:rsid w:val="0052501C"/>
    <w:rsid w:val="005379FA"/>
    <w:rsid w:val="00542501"/>
    <w:rsid w:val="00551CB4"/>
    <w:rsid w:val="00551DFF"/>
    <w:rsid w:val="005734A5"/>
    <w:rsid w:val="0057765B"/>
    <w:rsid w:val="00587AC5"/>
    <w:rsid w:val="005B2726"/>
    <w:rsid w:val="005D07A8"/>
    <w:rsid w:val="005E23C8"/>
    <w:rsid w:val="00602221"/>
    <w:rsid w:val="0060720B"/>
    <w:rsid w:val="0062793D"/>
    <w:rsid w:val="00654853"/>
    <w:rsid w:val="006666B4"/>
    <w:rsid w:val="006B0B3F"/>
    <w:rsid w:val="006B354F"/>
    <w:rsid w:val="00700213"/>
    <w:rsid w:val="00702F94"/>
    <w:rsid w:val="007072EB"/>
    <w:rsid w:val="007102D2"/>
    <w:rsid w:val="00711F8E"/>
    <w:rsid w:val="00792819"/>
    <w:rsid w:val="0079686C"/>
    <w:rsid w:val="007B3A7A"/>
    <w:rsid w:val="007C357E"/>
    <w:rsid w:val="007D17F2"/>
    <w:rsid w:val="007D21D4"/>
    <w:rsid w:val="007E660E"/>
    <w:rsid w:val="007F750C"/>
    <w:rsid w:val="00801C25"/>
    <w:rsid w:val="00815CFD"/>
    <w:rsid w:val="008225B5"/>
    <w:rsid w:val="00827557"/>
    <w:rsid w:val="00853D56"/>
    <w:rsid w:val="00885983"/>
    <w:rsid w:val="008A7E3E"/>
    <w:rsid w:val="008D620F"/>
    <w:rsid w:val="00904493"/>
    <w:rsid w:val="00906B38"/>
    <w:rsid w:val="009151F1"/>
    <w:rsid w:val="00932E66"/>
    <w:rsid w:val="00934FCF"/>
    <w:rsid w:val="00967529"/>
    <w:rsid w:val="00975A63"/>
    <w:rsid w:val="00976620"/>
    <w:rsid w:val="0097754B"/>
    <w:rsid w:val="00993E1C"/>
    <w:rsid w:val="009961D9"/>
    <w:rsid w:val="009A7B6B"/>
    <w:rsid w:val="009B5E0D"/>
    <w:rsid w:val="009E2CF3"/>
    <w:rsid w:val="00A15428"/>
    <w:rsid w:val="00A252D7"/>
    <w:rsid w:val="00AA12D9"/>
    <w:rsid w:val="00AA738C"/>
    <w:rsid w:val="00AA7723"/>
    <w:rsid w:val="00AD264E"/>
    <w:rsid w:val="00B138A6"/>
    <w:rsid w:val="00B33674"/>
    <w:rsid w:val="00B524F9"/>
    <w:rsid w:val="00B5284B"/>
    <w:rsid w:val="00B537D9"/>
    <w:rsid w:val="00B560CC"/>
    <w:rsid w:val="00B617CA"/>
    <w:rsid w:val="00B61BE9"/>
    <w:rsid w:val="00BB7690"/>
    <w:rsid w:val="00BC0727"/>
    <w:rsid w:val="00BD1558"/>
    <w:rsid w:val="00BF0337"/>
    <w:rsid w:val="00BF432B"/>
    <w:rsid w:val="00BF516C"/>
    <w:rsid w:val="00BF555A"/>
    <w:rsid w:val="00C22AE6"/>
    <w:rsid w:val="00C41462"/>
    <w:rsid w:val="00C520B7"/>
    <w:rsid w:val="00C77EE3"/>
    <w:rsid w:val="00C83DCB"/>
    <w:rsid w:val="00CA0B9E"/>
    <w:rsid w:val="00CB53A7"/>
    <w:rsid w:val="00CE5D22"/>
    <w:rsid w:val="00CF5C46"/>
    <w:rsid w:val="00D369A1"/>
    <w:rsid w:val="00DB141C"/>
    <w:rsid w:val="00DC3BFC"/>
    <w:rsid w:val="00DD4AFC"/>
    <w:rsid w:val="00DD59ED"/>
    <w:rsid w:val="00DE243F"/>
    <w:rsid w:val="00DE552A"/>
    <w:rsid w:val="00E04B00"/>
    <w:rsid w:val="00E0538C"/>
    <w:rsid w:val="00E062CF"/>
    <w:rsid w:val="00E21BE2"/>
    <w:rsid w:val="00E4785A"/>
    <w:rsid w:val="00E75850"/>
    <w:rsid w:val="00E817FC"/>
    <w:rsid w:val="00EA31FB"/>
    <w:rsid w:val="00EA7167"/>
    <w:rsid w:val="00EB62E4"/>
    <w:rsid w:val="00EC3860"/>
    <w:rsid w:val="00EE0745"/>
    <w:rsid w:val="00F03D72"/>
    <w:rsid w:val="00F05828"/>
    <w:rsid w:val="00F26231"/>
    <w:rsid w:val="00F33421"/>
    <w:rsid w:val="00F4097D"/>
    <w:rsid w:val="00F40F87"/>
    <w:rsid w:val="00F43719"/>
    <w:rsid w:val="00F60067"/>
    <w:rsid w:val="00F66A22"/>
    <w:rsid w:val="00F72381"/>
    <w:rsid w:val="00FA2E1E"/>
    <w:rsid w:val="00FB4CA7"/>
    <w:rsid w:val="00FB7488"/>
    <w:rsid w:val="00FC141E"/>
    <w:rsid w:val="00FD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F819C"/>
  <w15:chartTrackingRefBased/>
  <w15:docId w15:val="{DF07BD1C-9F27-44BE-98BE-9166B08F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A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BF43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3713</TotalTime>
  <Pages>1</Pages>
  <Words>1891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Mazurkov</dc:creator>
  <cp:keywords/>
  <dc:description/>
  <cp:lastModifiedBy>Tatiana</cp:lastModifiedBy>
  <cp:revision>48</cp:revision>
  <dcterms:created xsi:type="dcterms:W3CDTF">2017-04-21T09:27:00Z</dcterms:created>
  <dcterms:modified xsi:type="dcterms:W3CDTF">2020-05-05T02:17:00Z</dcterms:modified>
</cp:coreProperties>
</file>