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EE433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>Вестник Московского университета</w:t>
      </w:r>
    </w:p>
    <w:p w14:paraId="4F654913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Серия 11 Право </w:t>
      </w:r>
    </w:p>
    <w:p w14:paraId="7BB141DA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Научный журнал </w:t>
      </w:r>
    </w:p>
    <w:p w14:paraId="5A38543C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Основан в ноябре 1946 г.</w:t>
      </w:r>
    </w:p>
    <w:p w14:paraId="3E046E5E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Издательство Московского университета</w:t>
      </w:r>
    </w:p>
    <w:p w14:paraId="4B0AED8E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483F84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Выходит один раз в два месяца</w:t>
      </w:r>
    </w:p>
    <w:p w14:paraId="57B9B079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B4062D" w14:textId="77777777" w:rsidR="005379FA" w:rsidRDefault="009B5E0D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5E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</w:t>
      </w:r>
      <w:r w:rsidR="005B2726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9B5E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• 201</w:t>
      </w:r>
      <w:r w:rsidR="005B2726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9B5E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• </w:t>
      </w:r>
      <w:r w:rsidR="005B2726">
        <w:rPr>
          <w:rFonts w:ascii="Times New Roman" w:hAnsi="Times New Roman" w:cs="Times New Roman"/>
          <w:b/>
          <w:sz w:val="24"/>
          <w:szCs w:val="24"/>
          <w:lang w:val="ru-RU"/>
        </w:rPr>
        <w:t>январь</w:t>
      </w:r>
      <w:r w:rsidRPr="009B5E0D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5B2726">
        <w:rPr>
          <w:rFonts w:ascii="Times New Roman" w:hAnsi="Times New Roman" w:cs="Times New Roman"/>
          <w:b/>
          <w:sz w:val="24"/>
          <w:szCs w:val="24"/>
          <w:lang w:val="ru-RU"/>
        </w:rPr>
        <w:t>февраль</w:t>
      </w:r>
    </w:p>
    <w:p w14:paraId="5A5D9542" w14:textId="77777777" w:rsidR="00412688" w:rsidRDefault="00412688" w:rsidP="00412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333E58F" w14:textId="77777777" w:rsidR="00412688" w:rsidRPr="00412688" w:rsidRDefault="00412688" w:rsidP="00E81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688">
        <w:rPr>
          <w:rFonts w:ascii="Times New Roman" w:hAnsi="Times New Roman" w:cs="Times New Roman"/>
          <w:sz w:val="24"/>
          <w:szCs w:val="24"/>
          <w:lang w:val="ru-RU"/>
        </w:rPr>
        <w:t>Теоретические проблемы права</w:t>
      </w:r>
    </w:p>
    <w:p w14:paraId="08FA7DF6" w14:textId="77777777" w:rsidR="005B2726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CBF0622" w14:textId="77777777" w:rsidR="005B2726" w:rsidRPr="005B2726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proofErr w:type="gramStart"/>
      <w:r w:rsidRPr="005B2726">
        <w:rPr>
          <w:rFonts w:ascii="Times New Roman" w:hAnsi="Times New Roman" w:cs="Times New Roman"/>
          <w:b/>
          <w:bCs/>
          <w:sz w:val="24"/>
          <w:szCs w:val="24"/>
          <w:lang w:val="ru-RU"/>
        </w:rPr>
        <w:t>М.Н.</w:t>
      </w:r>
      <w:proofErr w:type="gramEnd"/>
      <w:r w:rsidRPr="005B27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Марченко, </w:t>
      </w:r>
      <w:r w:rsidRPr="005B272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доктор юридических наук, профессор, заслуженный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272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деятель науки РФ, заведующий кафедрой теории государства и права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272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 политологии юридического факультета МГУ</w:t>
      </w:r>
    </w:p>
    <w:p w14:paraId="175B0FEF" w14:textId="77777777" w:rsidR="005B2726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B7F058A" w14:textId="77777777" w:rsidR="005B2726" w:rsidRPr="005B2726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2726">
        <w:rPr>
          <w:rFonts w:ascii="Times New Roman" w:hAnsi="Times New Roman" w:cs="Times New Roman"/>
          <w:b/>
          <w:bCs/>
          <w:sz w:val="24"/>
          <w:szCs w:val="24"/>
          <w:lang w:val="ru-RU"/>
        </w:rPr>
        <w:t>О соотношении общей теории государства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B2726">
        <w:rPr>
          <w:rFonts w:ascii="Times New Roman" w:hAnsi="Times New Roman" w:cs="Times New Roman"/>
          <w:b/>
          <w:bCs/>
          <w:sz w:val="24"/>
          <w:szCs w:val="24"/>
          <w:lang w:val="ru-RU"/>
        </w:rPr>
        <w:t>и права и теории государства и права</w:t>
      </w:r>
    </w:p>
    <w:p w14:paraId="73043E12" w14:textId="77777777" w:rsidR="005B2726" w:rsidRPr="005B2726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27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России</w:t>
      </w:r>
    </w:p>
    <w:p w14:paraId="04CE2890" w14:textId="77777777" w:rsidR="005B2726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73F6BEB4" w14:textId="77777777" w:rsidR="005B2726" w:rsidRPr="005B2726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5B272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 статье рассматривается круг вопросов, касающихся соотношения общей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272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теории государства и права и теории государства и права России. Автор исходит из того, что общая теория государства и права является основой формирования и развития теории российского государства и права.</w:t>
      </w:r>
    </w:p>
    <w:p w14:paraId="5BFEE78A" w14:textId="77777777" w:rsidR="005B2726" w:rsidRDefault="005B2726" w:rsidP="00E817F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5D05858D" w14:textId="77777777" w:rsidR="0079686C" w:rsidRDefault="005B2726" w:rsidP="00E817FC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5B27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5B2726">
        <w:rPr>
          <w:rFonts w:ascii="Times New Roman" w:eastAsia="Newton-Regular" w:hAnsi="Times New Roman" w:cs="Times New Roman"/>
          <w:sz w:val="24"/>
          <w:szCs w:val="24"/>
          <w:lang w:val="ru-RU"/>
        </w:rPr>
        <w:t>общая теория государства и права, Россия, основа.</w:t>
      </w:r>
    </w:p>
    <w:p w14:paraId="37E16C0F" w14:textId="77777777" w:rsidR="005B2726" w:rsidRDefault="005B2726" w:rsidP="00E817FC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</w:p>
    <w:p w14:paraId="5DFB3C43" w14:textId="77777777" w:rsidR="005B2726" w:rsidRPr="005B2726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5B2726">
        <w:rPr>
          <w:rFonts w:ascii="Times New Roman" w:eastAsia="Newton-Italic" w:hAnsi="Times New Roman" w:cs="Times New Roman"/>
          <w:i/>
          <w:iCs/>
          <w:sz w:val="24"/>
          <w:szCs w:val="24"/>
        </w:rPr>
        <w:t>Article deals with issues concerning the relationship of general theory of state and</w:t>
      </w:r>
      <w:r w:rsidRPr="005B2726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2726">
        <w:rPr>
          <w:rFonts w:ascii="Times New Roman" w:eastAsia="Newton-Italic" w:hAnsi="Times New Roman" w:cs="Times New Roman"/>
          <w:i/>
          <w:iCs/>
          <w:sz w:val="24"/>
          <w:szCs w:val="24"/>
        </w:rPr>
        <w:t>law with the theory of Russian state and law. The author presumes that the general</w:t>
      </w:r>
      <w:r w:rsidRPr="005B2726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2726">
        <w:rPr>
          <w:rFonts w:ascii="Times New Roman" w:eastAsia="Newton-Italic" w:hAnsi="Times New Roman" w:cs="Times New Roman"/>
          <w:i/>
          <w:iCs/>
          <w:sz w:val="24"/>
          <w:szCs w:val="24"/>
        </w:rPr>
        <w:t>theory of state and law is the basis for the formation and development of the theory of the</w:t>
      </w:r>
      <w:r w:rsidRPr="005B2726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2726">
        <w:rPr>
          <w:rFonts w:ascii="Times New Roman" w:eastAsia="Newton-Italic" w:hAnsi="Times New Roman" w:cs="Times New Roman"/>
          <w:i/>
          <w:iCs/>
          <w:sz w:val="24"/>
          <w:szCs w:val="24"/>
        </w:rPr>
        <w:t>Russian state and law.</w:t>
      </w:r>
    </w:p>
    <w:p w14:paraId="0A43B4C1" w14:textId="77777777" w:rsidR="005B2726" w:rsidRDefault="005B2726" w:rsidP="00E817FC">
      <w:pPr>
        <w:spacing w:after="0" w:line="240" w:lineRule="auto"/>
        <w:jc w:val="both"/>
        <w:rPr>
          <w:rFonts w:ascii="Times New Roman" w:eastAsia="Newton-Italic" w:hAnsi="Times New Roman" w:cs="Times New Roman"/>
          <w:b/>
          <w:bCs/>
          <w:i/>
          <w:iCs/>
          <w:sz w:val="24"/>
          <w:szCs w:val="24"/>
        </w:rPr>
      </w:pPr>
    </w:p>
    <w:p w14:paraId="6279FE7E" w14:textId="77777777" w:rsidR="005B2726" w:rsidRDefault="005B2726" w:rsidP="00E817FC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B2726">
        <w:rPr>
          <w:rFonts w:ascii="Times New Roman" w:eastAsia="Newton-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5B2726">
        <w:rPr>
          <w:rFonts w:ascii="Times New Roman" w:eastAsia="Newton-Regular" w:hAnsi="Times New Roman" w:cs="Times New Roman"/>
          <w:sz w:val="24"/>
          <w:szCs w:val="24"/>
        </w:rPr>
        <w:t>general theory of state and law, Russia, basis.</w:t>
      </w:r>
    </w:p>
    <w:p w14:paraId="7D251251" w14:textId="77777777" w:rsidR="005B2726" w:rsidRDefault="005B2726" w:rsidP="00E817FC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14:paraId="123CB8DF" w14:textId="77777777" w:rsidR="005B2726" w:rsidRPr="005B2726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proofErr w:type="spellStart"/>
      <w:r w:rsidRPr="005B2726">
        <w:rPr>
          <w:rFonts w:ascii="Times New Roman" w:eastAsia="Newton-Regular" w:hAnsi="Times New Roman" w:cs="Times New Roman"/>
          <w:sz w:val="24"/>
          <w:szCs w:val="24"/>
          <w:lang w:val="ru-RU"/>
        </w:rPr>
        <w:t>История</w:t>
      </w:r>
      <w:proofErr w:type="spellEnd"/>
      <w:r w:rsidRPr="005B2726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2726">
        <w:rPr>
          <w:rFonts w:ascii="Times New Roman" w:eastAsia="Newton-Regular" w:hAnsi="Times New Roman" w:cs="Times New Roman"/>
          <w:sz w:val="24"/>
          <w:szCs w:val="24"/>
          <w:lang w:val="ru-RU"/>
        </w:rPr>
        <w:t>государства</w:t>
      </w:r>
      <w:proofErr w:type="spellEnd"/>
      <w:r w:rsidRPr="005B2726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B2726">
        <w:rPr>
          <w:rFonts w:ascii="Times New Roman" w:eastAsia="Newton-Regular" w:hAnsi="Times New Roman" w:cs="Times New Roman"/>
          <w:sz w:val="24"/>
          <w:szCs w:val="24"/>
          <w:lang w:val="ru-RU"/>
        </w:rPr>
        <w:t>права</w:t>
      </w:r>
      <w:proofErr w:type="spellEnd"/>
    </w:p>
    <w:p w14:paraId="3E8CF7D6" w14:textId="77777777" w:rsidR="005B2726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410CA8C1" w14:textId="77777777" w:rsidR="005B2726" w:rsidRPr="005B2726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5B2726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В.А. </w:t>
      </w:r>
      <w:proofErr w:type="spellStart"/>
      <w:r w:rsidRPr="005B2726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Томсинов</w:t>
      </w:r>
      <w:proofErr w:type="spellEnd"/>
      <w:r w:rsidRPr="005B2726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5B272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доктор юридических наук, профессор, заведующий кафедрой истории государства и </w:t>
      </w:r>
      <w:proofErr w:type="spellStart"/>
      <w:r w:rsidRPr="005B272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права</w:t>
      </w:r>
      <w:proofErr w:type="spellEnd"/>
      <w:r w:rsidRPr="005B272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272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юридического</w:t>
      </w:r>
      <w:proofErr w:type="spellEnd"/>
      <w:r w:rsidRPr="005B272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272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факультета</w:t>
      </w:r>
      <w:proofErr w:type="spellEnd"/>
      <w:r w:rsidRPr="005B272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МГУ </w:t>
      </w:r>
    </w:p>
    <w:p w14:paraId="1DB2D00D" w14:textId="77777777" w:rsidR="005B2726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6FE457B0" w14:textId="77777777" w:rsidR="005B2726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  <w:r w:rsidRPr="005B2726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Условия действительности договора</w:t>
      </w:r>
      <w:r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B2726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в проекте Гражданского уложения</w:t>
      </w:r>
      <w:r w:rsidR="00E817FC" w:rsidRPr="00E817FC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B2726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Российской империи конца </w:t>
      </w:r>
      <w:r>
        <w:rPr>
          <w:rFonts w:ascii="Times New Roman" w:eastAsia="Newton-Regular" w:hAnsi="Times New Roman" w:cs="Times New Roman"/>
          <w:b/>
          <w:bCs/>
          <w:sz w:val="24"/>
          <w:szCs w:val="24"/>
        </w:rPr>
        <w:t>XIX</w:t>
      </w:r>
      <w:r w:rsidRPr="005B2726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— начала </w:t>
      </w:r>
      <w:r>
        <w:rPr>
          <w:rFonts w:ascii="Times New Roman" w:eastAsia="Newton-Regular" w:hAnsi="Times New Roman" w:cs="Times New Roman"/>
          <w:b/>
          <w:bCs/>
          <w:sz w:val="24"/>
          <w:szCs w:val="24"/>
        </w:rPr>
        <w:t>XX</w:t>
      </w:r>
      <w:r w:rsidRPr="005B2726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в.</w:t>
      </w:r>
    </w:p>
    <w:p w14:paraId="2604FA64" w14:textId="77777777" w:rsidR="005B2726" w:rsidRDefault="005B2726" w:rsidP="00E817FC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2806A71F" w14:textId="77777777" w:rsidR="005B2726" w:rsidRPr="0021354D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Статья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посвящена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разработке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норм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об условиях действительности договора при составлении проекта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Гражданского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уложения Российской империи в</w:t>
      </w:r>
      <w:r w:rsidR="00E817FC" w:rsidRPr="00E817F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конце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XIX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— начале ХХ в.</w:t>
      </w:r>
    </w:p>
    <w:p w14:paraId="22460D1B" w14:textId="77777777" w:rsid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74718B2A" w14:textId="77777777" w:rsidR="005B2726" w:rsidRPr="0021354D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21354D">
        <w:rPr>
          <w:rFonts w:ascii="Times New Roman" w:eastAsia="Newton-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Гражданское право России, проект Гражданского уложения Российской империи, обязательственное </w:t>
      </w:r>
      <w:proofErr w:type="spellStart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право</w:t>
      </w:r>
      <w:proofErr w:type="spellEnd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договор</w:t>
      </w:r>
      <w:proofErr w:type="spellEnd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.</w:t>
      </w:r>
    </w:p>
    <w:p w14:paraId="42F4B99A" w14:textId="77777777" w:rsidR="005B2726" w:rsidRPr="0021354D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lastRenderedPageBreak/>
        <w:t>The article is devoted to the elaboration of norms on the conditions of validity of</w:t>
      </w:r>
      <w:r w:rsidR="00E817FC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the Treaty in the drafting of </w:t>
      </w:r>
      <w:proofErr w:type="gram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The</w:t>
      </w:r>
      <w:proofErr w:type="gram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civil code of the Russian Empire in the late XIX — early</w:t>
      </w:r>
      <w:r w:rsidR="00E817FC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XX century.</w:t>
      </w:r>
    </w:p>
    <w:p w14:paraId="41811FCA" w14:textId="77777777" w:rsid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b/>
          <w:bCs/>
          <w:i/>
          <w:iCs/>
          <w:sz w:val="24"/>
          <w:szCs w:val="24"/>
        </w:rPr>
      </w:pPr>
    </w:p>
    <w:p w14:paraId="11AD4FDE" w14:textId="77777777" w:rsidR="005B2726" w:rsidRPr="0021354D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1354D">
        <w:rPr>
          <w:rFonts w:ascii="Times New Roman" w:eastAsia="Newton-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21354D">
        <w:rPr>
          <w:rFonts w:ascii="Times New Roman" w:eastAsia="Newton-Regular" w:hAnsi="Times New Roman" w:cs="Times New Roman"/>
          <w:sz w:val="24"/>
          <w:szCs w:val="24"/>
        </w:rPr>
        <w:t>Civil law of Russia, draft Civil code of the Russian Empire, law of</w:t>
      </w:r>
      <w:r w:rsidR="00E817F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1354D">
        <w:rPr>
          <w:rFonts w:ascii="Times New Roman" w:eastAsia="Newton-Regular" w:hAnsi="Times New Roman" w:cs="Times New Roman"/>
          <w:sz w:val="24"/>
          <w:szCs w:val="24"/>
        </w:rPr>
        <w:t>obligations, contract.</w:t>
      </w:r>
    </w:p>
    <w:p w14:paraId="40DDB610" w14:textId="77777777" w:rsidR="0021354D" w:rsidRPr="00E817FC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E696B" w14:textId="77777777" w:rsidR="005B2726" w:rsidRPr="003C1B4C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proofErr w:type="gramStart"/>
      <w:r w:rsidRPr="0021354D">
        <w:rPr>
          <w:rFonts w:ascii="Times New Roman" w:hAnsi="Times New Roman" w:cs="Times New Roman"/>
          <w:b/>
          <w:bCs/>
          <w:sz w:val="24"/>
          <w:szCs w:val="24"/>
          <w:lang w:val="ru-RU"/>
        </w:rPr>
        <w:t>П.Л.</w:t>
      </w:r>
      <w:proofErr w:type="gramEnd"/>
      <w:r w:rsidRPr="0021354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Полянский,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доктор юридических наук, профессор кафедры истории государства и права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юридического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факультета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МГУ </w:t>
      </w:r>
    </w:p>
    <w:p w14:paraId="1C3EED0A" w14:textId="77777777" w:rsid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51850D4" w14:textId="77777777" w:rsidR="005B2726" w:rsidRPr="0021354D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354D">
        <w:rPr>
          <w:rFonts w:ascii="Times New Roman" w:hAnsi="Times New Roman" w:cs="Times New Roman"/>
          <w:b/>
          <w:bCs/>
          <w:sz w:val="24"/>
          <w:szCs w:val="24"/>
          <w:lang w:val="ru-RU"/>
        </w:rPr>
        <w:t>К вопросу об обычае как источнике права</w:t>
      </w:r>
      <w:r w:rsidR="003C1B4C" w:rsidRPr="003C1B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354D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Советской России в 1917–1921 гг.</w:t>
      </w:r>
    </w:p>
    <w:p w14:paraId="00E1B7B3" w14:textId="77777777" w:rsid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6E5109F8" w14:textId="77777777" w:rsidR="005B2726" w:rsidRPr="0021354D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Статья посвящена обычаю как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источнику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права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период становления советской государственности до новой экономической политики (1917–1921 гг.).</w:t>
      </w:r>
      <w:r w:rsidR="00E817FC" w:rsidRPr="00E817F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Автор на примере новых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материалов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доказывает, что дореволюционные обычаи,</w:t>
      </w:r>
      <w:r w:rsidR="00E817FC" w:rsidRPr="00E817F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связанные с семейно-имущественными разделами в крестьянской среде, применялись местными и центральными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советскими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органами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вплоть до того момента, как эти обычаи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стали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буквой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закона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период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нэпа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</w:t>
      </w:r>
    </w:p>
    <w:p w14:paraId="35F854EC" w14:textId="77777777" w:rsidR="003C1B4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12DEC16C" w14:textId="77777777" w:rsidR="005B2726" w:rsidRPr="00E817FC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21354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Россия, советское государство и право, история права,</w:t>
      </w:r>
      <w:r w:rsidR="00E817FC" w:rsidRPr="00E817FC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E817FC">
        <w:rPr>
          <w:rFonts w:ascii="Times New Roman" w:eastAsia="Newton-Regular" w:hAnsi="Times New Roman" w:cs="Times New Roman"/>
          <w:sz w:val="24"/>
          <w:szCs w:val="24"/>
          <w:lang w:val="ru-RU"/>
        </w:rPr>
        <w:t>обычай, крестьянский двор.</w:t>
      </w:r>
    </w:p>
    <w:p w14:paraId="06AEFDFE" w14:textId="77777777" w:rsidR="003C1B4C" w:rsidRPr="00E817F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02529DC5" w14:textId="77777777" w:rsidR="0021354D" w:rsidRP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We consider peasant’s custom as a source of law during the period of founding of</w:t>
      </w:r>
      <w:r w:rsidR="00E817FC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Soviet State and Civil War (1917–1921). We proved that in this period central and local</w:t>
      </w:r>
      <w:r w:rsidR="00E817FC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Soviet authorities used pre-revolutionary custom in adjudication of division of peasant’s</w:t>
      </w:r>
      <w:r w:rsidR="00E817FC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property.</w:t>
      </w:r>
    </w:p>
    <w:p w14:paraId="367B2D4A" w14:textId="77777777" w:rsidR="003C1B4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b/>
          <w:bCs/>
          <w:i/>
          <w:iCs/>
          <w:sz w:val="24"/>
          <w:szCs w:val="24"/>
        </w:rPr>
      </w:pPr>
    </w:p>
    <w:p w14:paraId="2E85357F" w14:textId="77777777" w:rsidR="0021354D" w:rsidRP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1354D">
        <w:rPr>
          <w:rFonts w:ascii="Times New Roman" w:eastAsia="Newton-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E817FC">
        <w:rPr>
          <w:rFonts w:ascii="Times New Roman" w:eastAsia="Newton-Italic" w:hAnsi="Times New Roman" w:cs="Times New Roman"/>
          <w:iCs/>
          <w:sz w:val="24"/>
          <w:szCs w:val="24"/>
        </w:rPr>
        <w:t>Russia, Soviet State and Law, history of law, custom, homestead.</w:t>
      </w:r>
    </w:p>
    <w:p w14:paraId="476209CD" w14:textId="77777777" w:rsidR="0021354D" w:rsidRPr="003C1B4C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14:paraId="171ECDF3" w14:textId="77777777" w:rsidR="005B2726" w:rsidRPr="0021354D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Вопросы сравнительного</w:t>
      </w:r>
      <w:r w:rsidR="003C1B4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правоведения</w:t>
      </w:r>
    </w:p>
    <w:p w14:paraId="13CF99E7" w14:textId="77777777" w:rsidR="003C1B4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1E4FF65B" w14:textId="77777777" w:rsidR="005B2726" w:rsidRPr="0021354D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21354D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Т.В. </w:t>
      </w:r>
      <w:proofErr w:type="spellStart"/>
      <w:r w:rsidRPr="0021354D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Мазуркова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кандидат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юридических наук (юридический факультет</w:t>
      </w:r>
      <w:r w:rsidR="003C1B4C" w:rsidRPr="003C1B4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МГУ)</w:t>
      </w:r>
    </w:p>
    <w:p w14:paraId="7CAAC6D0" w14:textId="77777777" w:rsidR="003C1B4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3E9A1DE3" w14:textId="77777777" w:rsidR="005B2726" w:rsidRPr="0021354D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  <w:r w:rsidRPr="0021354D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Апелляционная юрисдикция Тайного совета</w:t>
      </w:r>
      <w:r w:rsidR="003C1B4C" w:rsidRPr="003C1B4C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354D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Великобритании: рождение доктрины</w:t>
      </w:r>
    </w:p>
    <w:p w14:paraId="39795EEA" w14:textId="77777777" w:rsidR="003C1B4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003AFB7F" w14:textId="77777777" w:rsidR="005B2726" w:rsidRPr="0021354D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В статье рассматриваются вопросы истории Тайного совета Великобритании, правовая природа его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апелляционной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юрисдикции, роль королевской прерогативы и Тайного совета в осуществлении колониальной политики Великобритании. Значительное место</w:t>
      </w:r>
      <w:r w:rsidR="00E817FC" w:rsidRPr="00E817F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отводится правовым вопросам осуществления</w:t>
      </w:r>
      <w:r w:rsidR="00E817FC" w:rsidRPr="00E817F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права на апелляцию из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колоний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доминионов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Тайный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совет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</w:t>
      </w:r>
    </w:p>
    <w:p w14:paraId="71CEEB5C" w14:textId="77777777" w:rsidR="003C1B4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2A28196B" w14:textId="77777777" w:rsidR="005B2726" w:rsidRPr="0021354D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21354D"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Тайный совет, королевская прерогатива, апелляционная юрисдикция. </w:t>
      </w:r>
      <w:proofErr w:type="spellStart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королевская</w:t>
      </w:r>
      <w:proofErr w:type="spellEnd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хартия</w:t>
      </w:r>
      <w:proofErr w:type="spellEnd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право</w:t>
      </w:r>
      <w:proofErr w:type="spellEnd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на</w:t>
      </w:r>
      <w:proofErr w:type="spellEnd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апелляцию</w:t>
      </w:r>
      <w:proofErr w:type="spellEnd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.</w:t>
      </w:r>
    </w:p>
    <w:p w14:paraId="5F63DC6F" w14:textId="77777777" w:rsidR="003C1B4C" w:rsidRPr="00E817F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1BDED893" w14:textId="17F9F0B3" w:rsidR="005B2726" w:rsidRPr="0021354D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deals with the history of the Privy Council of Great Britain, legal nature</w:t>
      </w:r>
      <w:r w:rsidR="00E817FC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of its appellate jurisdiction, role of royal prerogative and the Privy Council in the implementation</w:t>
      </w:r>
      <w:r w:rsidR="0018618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of British colonial policy. Significant place is given to the legal </w:t>
      </w:r>
      <w:bookmarkStart w:id="0" w:name="_GoBack"/>
      <w:bookmarkEnd w:id="0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issues of the implementation of the right of appeal from the colonies and dominions to the</w:t>
      </w:r>
      <w:r w:rsidR="00E817FC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Privy Council.</w:t>
      </w:r>
    </w:p>
    <w:p w14:paraId="4F273859" w14:textId="77777777" w:rsidR="003C1B4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b/>
          <w:bCs/>
          <w:i/>
          <w:iCs/>
          <w:sz w:val="24"/>
          <w:szCs w:val="24"/>
        </w:rPr>
      </w:pPr>
    </w:p>
    <w:p w14:paraId="2EA989F9" w14:textId="77777777" w:rsidR="005B2726" w:rsidRPr="0021354D" w:rsidRDefault="005B2726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1354D">
        <w:rPr>
          <w:rFonts w:ascii="Times New Roman" w:eastAsia="Newton-Italic" w:hAnsi="Times New Roman" w:cs="Times New Roman"/>
          <w:b/>
          <w:bCs/>
          <w:i/>
          <w:iCs/>
          <w:sz w:val="24"/>
          <w:szCs w:val="24"/>
        </w:rPr>
        <w:lastRenderedPageBreak/>
        <w:t xml:space="preserve">Keywords: </w:t>
      </w:r>
      <w:r w:rsidRPr="0021354D">
        <w:rPr>
          <w:rFonts w:ascii="Times New Roman" w:eastAsia="Newton-Regular" w:hAnsi="Times New Roman" w:cs="Times New Roman"/>
          <w:sz w:val="24"/>
          <w:szCs w:val="24"/>
        </w:rPr>
        <w:t>Privy Council, Royal prerogative, appellate jurisdiction, Royal charter,</w:t>
      </w:r>
      <w:r w:rsidR="00E817F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1354D">
        <w:rPr>
          <w:rFonts w:ascii="Times New Roman" w:eastAsia="Newton-Regular" w:hAnsi="Times New Roman" w:cs="Times New Roman"/>
          <w:sz w:val="24"/>
          <w:szCs w:val="24"/>
        </w:rPr>
        <w:t>right of appeal.</w:t>
      </w:r>
    </w:p>
    <w:p w14:paraId="391ECE8E" w14:textId="77777777" w:rsidR="0021354D" w:rsidRPr="0021354D" w:rsidRDefault="0021354D" w:rsidP="00E817FC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14:paraId="6DE6E0CB" w14:textId="77777777" w:rsidR="0021354D" w:rsidRPr="003C1B4C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21354D">
        <w:rPr>
          <w:rFonts w:ascii="Times New Roman" w:hAnsi="Times New Roman" w:cs="Times New Roman"/>
          <w:b/>
          <w:bCs/>
          <w:sz w:val="24"/>
          <w:szCs w:val="24"/>
          <w:lang w:val="ru-RU"/>
        </w:rPr>
        <w:t>Ф.М. Аминова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, кандидат юридических наук, доцент кафедры международного права и сравнительного правоведения юридического факультета Российско-Таджикского (Славянского) университета (РТСУ) </w:t>
      </w:r>
    </w:p>
    <w:p w14:paraId="4D4AC953" w14:textId="77777777" w:rsidR="003C1B4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91A5F7A" w14:textId="77777777" w:rsidR="0021354D" w:rsidRP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354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Проблемные аспекты донорства</w:t>
      </w:r>
      <w:r w:rsidR="00E817FC" w:rsidRPr="00E817F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354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половых клеток в рамках защиты прав ребенка</w:t>
      </w:r>
    </w:p>
    <w:p w14:paraId="13CD9B7F" w14:textId="77777777" w:rsidR="0021354D" w:rsidRP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354D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Республике Таджикистан</w:t>
      </w:r>
    </w:p>
    <w:p w14:paraId="51D31840" w14:textId="77777777" w:rsidR="003C1B4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2A56232C" w14:textId="77777777" w:rsidR="0021354D" w:rsidRP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 статье рассматривается правовое положение донора половых клеток</w:t>
      </w:r>
      <w:r w:rsidR="00E817FC" w:rsidRPr="00E817F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по законодательству Республики Таджикистан. Автор обращает внимание на</w:t>
      </w:r>
      <w:r w:rsidR="00E817FC" w:rsidRPr="00E817F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проблемы такого регулирования и обосновывает необходимость введения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законодательного 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запрета на донорство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половых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клеток путем внесения изменений</w:t>
      </w:r>
      <w:r w:rsidR="00E817FC" w:rsidRPr="00E817F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в Кодекс здравоохранения Республики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Таджикистан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</w:t>
      </w:r>
    </w:p>
    <w:p w14:paraId="4590133E" w14:textId="77777777" w:rsidR="003C1B4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433F1D92" w14:textId="77777777" w:rsidR="0021354D" w:rsidRP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21354D">
        <w:rPr>
          <w:rFonts w:ascii="Times New Roman" w:eastAsia="Newton-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донор, человеческая жизнь, потенциальные родители,</w:t>
      </w:r>
      <w:r w:rsidR="00E817FC" w:rsidRPr="00E817FC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фертильность, медицина, права и </w:t>
      </w:r>
      <w:proofErr w:type="spellStart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законные</w:t>
      </w:r>
      <w:proofErr w:type="spellEnd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интересы</w:t>
      </w:r>
      <w:proofErr w:type="spellEnd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ребенка</w:t>
      </w:r>
      <w:proofErr w:type="spellEnd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.</w:t>
      </w:r>
    </w:p>
    <w:p w14:paraId="675E4107" w14:textId="77777777" w:rsidR="003C1B4C" w:rsidRPr="00E817F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25F1A554" w14:textId="77777777" w:rsidR="0021354D" w:rsidRP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discusses the legal status of the germ cells donor according to the legislation</w:t>
      </w:r>
      <w:r w:rsidR="00E817FC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of the Republic of Tajikistan. The author draws attention to the problems of such</w:t>
      </w:r>
      <w:r w:rsidR="00E817FC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regulation and justifies the need for a legislative ban on donation of germ cells by amending</w:t>
      </w:r>
      <w:r w:rsidR="00E817FC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the Health Code of the Republic of Tajikistan.</w:t>
      </w:r>
    </w:p>
    <w:p w14:paraId="42603DB0" w14:textId="77777777" w:rsidR="003C1B4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b/>
          <w:bCs/>
          <w:i/>
          <w:iCs/>
          <w:sz w:val="24"/>
          <w:szCs w:val="24"/>
        </w:rPr>
      </w:pPr>
    </w:p>
    <w:p w14:paraId="012B6F4B" w14:textId="77777777" w:rsidR="0021354D" w:rsidRP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1354D">
        <w:rPr>
          <w:rFonts w:ascii="Times New Roman" w:eastAsia="Newton-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21354D">
        <w:rPr>
          <w:rFonts w:ascii="Times New Roman" w:eastAsia="Newton-Regular" w:hAnsi="Times New Roman" w:cs="Times New Roman"/>
          <w:sz w:val="24"/>
          <w:szCs w:val="24"/>
        </w:rPr>
        <w:t>donor, human life, potential parents, fertility, medicine, rights and</w:t>
      </w:r>
      <w:r w:rsidR="00E817F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1354D">
        <w:rPr>
          <w:rFonts w:ascii="Times New Roman" w:eastAsia="Newton-Regular" w:hAnsi="Times New Roman" w:cs="Times New Roman"/>
          <w:sz w:val="24"/>
          <w:szCs w:val="24"/>
        </w:rPr>
        <w:t>legitimate interests of the child.</w:t>
      </w:r>
    </w:p>
    <w:p w14:paraId="7A59485D" w14:textId="77777777" w:rsidR="003C1B4C" w:rsidRPr="00E817F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14:paraId="4E3A19DC" w14:textId="77777777" w:rsidR="0021354D" w:rsidRP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Трибуна молодых ученых</w:t>
      </w:r>
    </w:p>
    <w:p w14:paraId="25FEFEE4" w14:textId="77777777" w:rsidR="003C1B4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42852EDE" w14:textId="77777777" w:rsidR="0021354D" w:rsidRPr="003C1B4C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proofErr w:type="gramStart"/>
      <w:r w:rsidRPr="0021354D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Д.С.</w:t>
      </w:r>
      <w:proofErr w:type="gramEnd"/>
      <w:r w:rsidRPr="0021354D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Денисов,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аспирант кафедры истории государства и права юридического факультета МГУ </w:t>
      </w:r>
    </w:p>
    <w:p w14:paraId="0A63E3C7" w14:textId="77777777" w:rsidR="003C1B4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3525F6B3" w14:textId="77777777" w:rsidR="0021354D" w:rsidRPr="0021354D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  <w:r w:rsidRPr="003C1B4C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Развитие суверенного иммунитета в</w:t>
      </w:r>
      <w:r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1B4C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Великобритании в конце </w:t>
      </w:r>
      <w:r>
        <w:rPr>
          <w:rFonts w:ascii="Times New Roman" w:eastAsia="Newton-Regular" w:hAnsi="Times New Roman" w:cs="Times New Roman"/>
          <w:b/>
          <w:bCs/>
          <w:sz w:val="24"/>
          <w:szCs w:val="24"/>
        </w:rPr>
        <w:t>XIX</w:t>
      </w:r>
      <w:r w:rsidRPr="003C1B4C">
        <w:rPr>
          <w:rFonts w:ascii="Times New Roman" w:eastAsia="Newton-Regular" w:hAnsi="Times New Roman" w:cs="Times New Roman"/>
          <w:b/>
          <w:bCs/>
          <w:sz w:val="24"/>
          <w:szCs w:val="24"/>
        </w:rPr>
        <w:t> </w:t>
      </w:r>
      <w:r w:rsidRPr="003C1B4C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— начале </w:t>
      </w:r>
      <w:r>
        <w:rPr>
          <w:rFonts w:ascii="Times New Roman" w:eastAsia="Newton-Regular" w:hAnsi="Times New Roman" w:cs="Times New Roman"/>
          <w:b/>
          <w:bCs/>
          <w:sz w:val="24"/>
          <w:szCs w:val="24"/>
        </w:rPr>
        <w:t>XX</w:t>
      </w:r>
      <w:r w:rsidR="0021354D" w:rsidRPr="0021354D">
        <w:rPr>
          <w:rFonts w:ascii="Times New Roman" w:eastAsia="Newton-Regular" w:hAnsi="Times New Roman" w:cs="Times New Roman"/>
          <w:b/>
          <w:bCs/>
          <w:sz w:val="24"/>
          <w:szCs w:val="24"/>
        </w:rPr>
        <w:t> </w:t>
      </w:r>
      <w:r w:rsidR="0021354D"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в</w:t>
      </w:r>
      <w:r w:rsidR="0021354D" w:rsidRPr="0021354D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.</w:t>
      </w:r>
    </w:p>
    <w:p w14:paraId="0C760DB8" w14:textId="77777777" w:rsidR="0021354D" w:rsidRPr="003C1B4C" w:rsidRDefault="0021354D" w:rsidP="00E817FC">
      <w:pPr>
        <w:spacing w:after="0" w:line="240" w:lineRule="auto"/>
        <w:jc w:val="both"/>
        <w:rPr>
          <w:rFonts w:ascii="Times New Roman" w:eastAsia="Newton-Regular" w:hAnsi="Times New Roman" w:cs="Times New Roman"/>
          <w:bCs/>
          <w:sz w:val="24"/>
          <w:szCs w:val="24"/>
        </w:rPr>
      </w:pPr>
      <w:r w:rsidRPr="003C1B4C">
        <w:rPr>
          <w:rFonts w:ascii="Times New Roman" w:eastAsia="Newton-Regular" w:hAnsi="Times New Roman" w:cs="Times New Roman"/>
          <w:bCs/>
          <w:sz w:val="24"/>
          <w:szCs w:val="24"/>
        </w:rPr>
        <w:t>(</w:t>
      </w:r>
      <w:proofErr w:type="spellStart"/>
      <w:r w:rsidRPr="00186181">
        <w:rPr>
          <w:rFonts w:ascii="Times New Roman" w:eastAsia="Newton-Regular" w:hAnsi="Times New Roman" w:cs="Times New Roman"/>
          <w:i/>
          <w:sz w:val="24"/>
          <w:szCs w:val="24"/>
        </w:rPr>
        <w:t>статья</w:t>
      </w:r>
      <w:proofErr w:type="spellEnd"/>
      <w:r w:rsidRPr="00186181">
        <w:rPr>
          <w:rFonts w:ascii="Times New Roman" w:eastAsia="Newton-Regular" w:hAnsi="Times New Roman" w:cs="Times New Roman"/>
          <w:i/>
          <w:sz w:val="24"/>
          <w:szCs w:val="24"/>
        </w:rPr>
        <w:t xml:space="preserve"> </w:t>
      </w:r>
      <w:proofErr w:type="spellStart"/>
      <w:r w:rsidRPr="00186181">
        <w:rPr>
          <w:rFonts w:ascii="Times New Roman" w:eastAsia="Newton-Regular" w:hAnsi="Times New Roman" w:cs="Times New Roman"/>
          <w:i/>
          <w:sz w:val="24"/>
          <w:szCs w:val="24"/>
        </w:rPr>
        <w:t>вторая</w:t>
      </w:r>
      <w:proofErr w:type="spellEnd"/>
      <w:r w:rsidRPr="003C1B4C">
        <w:rPr>
          <w:rFonts w:ascii="Times New Roman" w:eastAsia="Newton-Regular" w:hAnsi="Times New Roman" w:cs="Times New Roman"/>
          <w:bCs/>
          <w:sz w:val="24"/>
          <w:szCs w:val="24"/>
        </w:rPr>
        <w:t xml:space="preserve">) </w:t>
      </w:r>
    </w:p>
    <w:p w14:paraId="27F8F368" w14:textId="77777777" w:rsidR="003C1B4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149EB307" w14:textId="77777777" w:rsidR="0021354D" w:rsidRP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Настоящая статья продолжает цикл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работ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о проблеме суверенного иммунитета.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Особое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внимание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уделяется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формированию устойчивой судебной практики применения абсолютного суверенного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иммунитета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с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конца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XIX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по первую</w:t>
      </w:r>
      <w:r w:rsidR="00E817FC" w:rsidRPr="00E817F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половину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XX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в.</w:t>
      </w:r>
    </w:p>
    <w:p w14:paraId="2746C9A5" w14:textId="77777777" w:rsidR="003C1B4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61B277F6" w14:textId="77777777" w:rsidR="0021354D" w:rsidRP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21354D">
        <w:rPr>
          <w:rFonts w:ascii="Times New Roman" w:eastAsia="Newton-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Великобритания, иммунитет, суверенитет, суверенный</w:t>
      </w:r>
      <w:r w:rsidR="00186181" w:rsidRPr="00186181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иммунитет, юрисдикционный иммунитет, абсолютный иммунитет, </w:t>
      </w:r>
      <w:proofErr w:type="spellStart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Мигелл</w:t>
      </w:r>
      <w:proofErr w:type="spellEnd"/>
      <w:r w:rsidR="00186181" w:rsidRPr="00186181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против Султана </w:t>
      </w:r>
      <w:proofErr w:type="spellStart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Джохор</w:t>
      </w:r>
      <w:proofErr w:type="spellEnd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(1894), </w:t>
      </w:r>
      <w:proofErr w:type="spellStart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Порто</w:t>
      </w:r>
      <w:proofErr w:type="spellEnd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Александре</w:t>
      </w:r>
      <w:proofErr w:type="spellEnd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(1920), </w:t>
      </w:r>
      <w:proofErr w:type="spellStart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Кристина</w:t>
      </w:r>
      <w:proofErr w:type="spellEnd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(1938).</w:t>
      </w:r>
    </w:p>
    <w:p w14:paraId="16B0FAFA" w14:textId="77777777" w:rsidR="003C1B4C" w:rsidRPr="00186181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1E98FDCC" w14:textId="77777777" w:rsidR="0021354D" w:rsidRP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This article extends the cycle of works on the problem of sovereign immunity. The</w:t>
      </w:r>
      <w:r w:rsidR="0018618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accent in this article is the formation of the stable judicial practice of applying absolute</w:t>
      </w:r>
      <w:r w:rsidR="0018618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sovereign immunity from the end of the XIX — the first half of the XX century.</w:t>
      </w:r>
    </w:p>
    <w:p w14:paraId="6E4D3EB1" w14:textId="77777777" w:rsidR="003C1B4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b/>
          <w:bCs/>
          <w:i/>
          <w:iCs/>
          <w:sz w:val="24"/>
          <w:szCs w:val="24"/>
        </w:rPr>
      </w:pPr>
    </w:p>
    <w:p w14:paraId="246B065C" w14:textId="77777777" w:rsidR="0021354D" w:rsidRPr="0021354D" w:rsidRDefault="0021354D" w:rsidP="00186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1354D">
        <w:rPr>
          <w:rFonts w:ascii="Times New Roman" w:eastAsia="Newton-Italic" w:hAnsi="Times New Roman" w:cs="Times New Roman"/>
          <w:b/>
          <w:bCs/>
          <w:i/>
          <w:iCs/>
          <w:sz w:val="24"/>
          <w:szCs w:val="24"/>
        </w:rPr>
        <w:lastRenderedPageBreak/>
        <w:t xml:space="preserve">Keywords: </w:t>
      </w:r>
      <w:proofErr w:type="gramStart"/>
      <w:r w:rsidRPr="0021354D">
        <w:rPr>
          <w:rFonts w:ascii="Times New Roman" w:eastAsia="Newton-Regular" w:hAnsi="Times New Roman" w:cs="Times New Roman"/>
          <w:sz w:val="24"/>
          <w:szCs w:val="24"/>
        </w:rPr>
        <w:t>the</w:t>
      </w:r>
      <w:proofErr w:type="gramEnd"/>
      <w:r w:rsidRPr="0021354D">
        <w:rPr>
          <w:rFonts w:ascii="Times New Roman" w:eastAsia="Newton-Regular" w:hAnsi="Times New Roman" w:cs="Times New Roman"/>
          <w:sz w:val="24"/>
          <w:szCs w:val="24"/>
        </w:rPr>
        <w:t xml:space="preserve"> United Kingdom, immunity, sovereignty, sovereign immunity,</w:t>
      </w:r>
      <w:r w:rsidR="0018618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1354D">
        <w:rPr>
          <w:rFonts w:ascii="Times New Roman" w:eastAsia="Newton-Regular" w:hAnsi="Times New Roman" w:cs="Times New Roman"/>
          <w:sz w:val="24"/>
          <w:szCs w:val="24"/>
        </w:rPr>
        <w:t xml:space="preserve">jurisdictional immunity, absolute immunity, </w:t>
      </w:r>
      <w:proofErr w:type="spellStart"/>
      <w:r w:rsidRPr="0021354D">
        <w:rPr>
          <w:rFonts w:ascii="Times New Roman" w:eastAsia="Newton-Regular" w:hAnsi="Times New Roman" w:cs="Times New Roman"/>
          <w:sz w:val="24"/>
          <w:szCs w:val="24"/>
        </w:rPr>
        <w:t>Mighell</w:t>
      </w:r>
      <w:proofErr w:type="spellEnd"/>
      <w:r w:rsidRPr="0021354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1354D">
        <w:rPr>
          <w:rFonts w:ascii="Times New Roman" w:eastAsia="Newton-Regular" w:hAnsi="Times New Roman" w:cs="Times New Roman"/>
          <w:sz w:val="24"/>
          <w:szCs w:val="24"/>
        </w:rPr>
        <w:t>v. Sultan of Johore (1894), the</w:t>
      </w:r>
      <w:r w:rsidR="0018618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1354D">
        <w:rPr>
          <w:rFonts w:ascii="Times New Roman" w:eastAsia="Newton-Regular" w:hAnsi="Times New Roman" w:cs="Times New Roman"/>
          <w:sz w:val="24"/>
          <w:szCs w:val="24"/>
        </w:rPr>
        <w:t>Porto Alexandre (1920), the Christina (1938).</w:t>
      </w:r>
    </w:p>
    <w:p w14:paraId="38DFCD37" w14:textId="77777777" w:rsidR="003C1B4C" w:rsidRPr="00186181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08FFE" w14:textId="77777777" w:rsidR="0021354D" w:rsidRPr="003C1B4C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proofErr w:type="gramStart"/>
      <w:r w:rsidRPr="0021354D">
        <w:rPr>
          <w:rFonts w:ascii="Times New Roman" w:hAnsi="Times New Roman" w:cs="Times New Roman"/>
          <w:b/>
          <w:bCs/>
          <w:sz w:val="24"/>
          <w:szCs w:val="24"/>
          <w:lang w:val="ru-RU"/>
        </w:rPr>
        <w:t>Ю.А.</w:t>
      </w:r>
      <w:proofErr w:type="gramEnd"/>
      <w:r w:rsidRPr="0021354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Леонова,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аспирант кафедры теории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государства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 права и политологии МГУ </w:t>
      </w:r>
    </w:p>
    <w:p w14:paraId="6830FB62" w14:textId="77777777" w:rsidR="003C1B4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A28BF09" w14:textId="77777777" w:rsidR="0021354D" w:rsidRP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354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Пробелы в законе и неопределенность права</w:t>
      </w:r>
    </w:p>
    <w:p w14:paraId="48358D57" w14:textId="77777777" w:rsidR="003C1B4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497C30F9" w14:textId="77777777" w:rsidR="0021354D" w:rsidRP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Настоящая статья посвящена проблеме неопределенности права, а также</w:t>
      </w:r>
      <w:r w:rsidR="00186181"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пробелам в законе, которые </w:t>
      </w:r>
      <w:proofErr w:type="spellStart"/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рассматриваются</w:t>
      </w:r>
      <w:proofErr w:type="spellEnd"/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качестве причины возникновения правовой неопределенности. Изучается судебное толкование понятий </w:t>
      </w:r>
      <w:r w:rsidR="00186181">
        <w:rPr>
          <w:rFonts w:ascii="Cambria Math" w:eastAsia="Newton-Italic" w:hAnsi="Cambria Math" w:cs="Cambria Math"/>
          <w:i/>
          <w:iCs/>
          <w:sz w:val="24"/>
          <w:szCs w:val="24"/>
          <w:lang w:val="ru-RU"/>
        </w:rPr>
        <w:t>«</w:t>
      </w:r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неопределенность права</w:t>
      </w:r>
      <w:r w:rsidR="00186181">
        <w:rPr>
          <w:rFonts w:ascii="Cambria Math" w:eastAsia="Newton-Italic" w:hAnsi="Cambria Math" w:cs="Cambria Math"/>
          <w:i/>
          <w:iCs/>
          <w:sz w:val="24"/>
          <w:szCs w:val="24"/>
          <w:lang w:val="ru-RU"/>
        </w:rPr>
        <w:t>»</w:t>
      </w:r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 </w:t>
      </w:r>
      <w:r w:rsidR="00186181">
        <w:rPr>
          <w:rFonts w:ascii="Cambria Math" w:eastAsia="Newton-Italic" w:hAnsi="Cambria Math" w:cs="Cambria Math"/>
          <w:i/>
          <w:iCs/>
          <w:sz w:val="24"/>
          <w:szCs w:val="24"/>
          <w:lang w:val="ru-RU"/>
        </w:rPr>
        <w:t>«</w:t>
      </w:r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пробел в законе</w:t>
      </w:r>
      <w:r w:rsidR="00186181">
        <w:rPr>
          <w:rFonts w:ascii="Cambria Math" w:eastAsia="Newton-Italic" w:hAnsi="Cambria Math" w:cs="Cambria Math"/>
          <w:i/>
          <w:iCs/>
          <w:sz w:val="24"/>
          <w:szCs w:val="24"/>
          <w:lang w:val="ru-RU"/>
        </w:rPr>
        <w:t>»</w:t>
      </w:r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, а также анализируется соотношение</w:t>
      </w:r>
      <w:r w:rsid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исследуемых правовых явлений. В </w:t>
      </w:r>
      <w:proofErr w:type="spellStart"/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статье</w:t>
      </w:r>
      <w:proofErr w:type="spellEnd"/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предлагается</w:t>
      </w:r>
      <w:proofErr w:type="spellEnd"/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применять</w:t>
      </w:r>
      <w:proofErr w:type="spellEnd"/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экономический</w:t>
      </w:r>
      <w:proofErr w:type="spellEnd"/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анализ</w:t>
      </w:r>
      <w:proofErr w:type="spellEnd"/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права</w:t>
      </w:r>
      <w:proofErr w:type="spellEnd"/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с </w:t>
      </w:r>
      <w:proofErr w:type="spellStart"/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целью</w:t>
      </w:r>
      <w:proofErr w:type="spellEnd"/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преодоления</w:t>
      </w:r>
      <w:proofErr w:type="spellEnd"/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правовой неопределенности и заполнения</w:t>
      </w:r>
      <w:r w:rsid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пробелов.</w:t>
      </w:r>
    </w:p>
    <w:p w14:paraId="3C6FAFA7" w14:textId="77777777" w:rsidR="003C1B4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23B2626D" w14:textId="77777777" w:rsidR="0021354D" w:rsidRP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21354D">
        <w:rPr>
          <w:rFonts w:ascii="Times New Roman" w:eastAsia="Newton-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пробелы в законе, правовая неопределенность, правовая лингвистика, экономический анализ </w:t>
      </w:r>
      <w:proofErr w:type="spellStart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права</w:t>
      </w:r>
      <w:proofErr w:type="spellEnd"/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.</w:t>
      </w:r>
    </w:p>
    <w:p w14:paraId="0D76B163" w14:textId="77777777" w:rsidR="003C1B4C" w:rsidRPr="00186181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1D7FE8E0" w14:textId="77777777" w:rsidR="0021354D" w:rsidRP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The paper examines the problem of legal uncertainty and legal gaps which are</w:t>
      </w:r>
      <w:r w:rsidR="00186181" w:rsidRPr="0018618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considered as the cause of legal uncertainty. The judicial interpretation of the concepts</w:t>
      </w:r>
      <w:r w:rsidR="00186181" w:rsidRPr="0018618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“legal uncertainty” and “gaps in the law” are studied. The author analyses the ratio of</w:t>
      </w:r>
      <w:r w:rsidR="00186181" w:rsidRPr="0018618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the studied legal phenomena. It is proposed to eliminate legal uncertainty and to bridge</w:t>
      </w:r>
      <w:r w:rsidR="00186181" w:rsidRPr="0018618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gaps in the law by means of law and economics.</w:t>
      </w:r>
    </w:p>
    <w:p w14:paraId="4F159EE8" w14:textId="77777777" w:rsidR="003C1B4C" w:rsidRDefault="003C1B4C" w:rsidP="00E817FC">
      <w:pPr>
        <w:spacing w:after="0" w:line="240" w:lineRule="auto"/>
        <w:jc w:val="both"/>
        <w:rPr>
          <w:rFonts w:ascii="Times New Roman" w:eastAsia="Newton-Italic" w:hAnsi="Times New Roman" w:cs="Times New Roman"/>
          <w:b/>
          <w:bCs/>
          <w:i/>
          <w:iCs/>
          <w:sz w:val="24"/>
          <w:szCs w:val="24"/>
        </w:rPr>
      </w:pPr>
    </w:p>
    <w:p w14:paraId="0B7E19B4" w14:textId="77777777" w:rsidR="0021354D" w:rsidRPr="0021354D" w:rsidRDefault="0021354D" w:rsidP="00E817FC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1354D">
        <w:rPr>
          <w:rFonts w:ascii="Times New Roman" w:eastAsia="Newton-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21354D">
        <w:rPr>
          <w:rFonts w:ascii="Times New Roman" w:eastAsia="Newton-Regular" w:hAnsi="Times New Roman" w:cs="Times New Roman"/>
          <w:sz w:val="24"/>
          <w:szCs w:val="24"/>
        </w:rPr>
        <w:t>gaps in the law, legal uncertainty, legal language, law and economics.</w:t>
      </w:r>
    </w:p>
    <w:p w14:paraId="7FACC5AF" w14:textId="77777777" w:rsidR="0021354D" w:rsidRPr="0021354D" w:rsidRDefault="0021354D" w:rsidP="00E817FC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14:paraId="2228CCBA" w14:textId="77777777" w:rsidR="0021354D" w:rsidRPr="003C1B4C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21354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О.И. </w:t>
      </w:r>
      <w:proofErr w:type="spellStart"/>
      <w:r w:rsidRPr="0021354D">
        <w:rPr>
          <w:rFonts w:ascii="Times New Roman" w:hAnsi="Times New Roman" w:cs="Times New Roman"/>
          <w:b/>
          <w:bCs/>
          <w:sz w:val="24"/>
          <w:szCs w:val="24"/>
          <w:lang w:val="ru-RU"/>
        </w:rPr>
        <w:t>Гентовт</w:t>
      </w:r>
      <w:proofErr w:type="spellEnd"/>
      <w:r w:rsidRPr="0021354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аспирантка кафедры предпринимательского права юр</w:t>
      </w:r>
      <w:r w:rsidR="003C1B4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дического факультета МГУ </w:t>
      </w:r>
    </w:p>
    <w:p w14:paraId="1242C2AE" w14:textId="77777777" w:rsidR="003C1B4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334F26" w14:textId="77777777" w:rsidR="0021354D" w:rsidRP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354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Построение системы хозяйственных обществ:</w:t>
      </w:r>
      <w:r w:rsidR="003C1B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354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перспективы законодательного</w:t>
      </w:r>
    </w:p>
    <w:p w14:paraId="197038A7" w14:textId="77777777" w:rsidR="0021354D" w:rsidRP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354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регулирования</w:t>
      </w:r>
    </w:p>
    <w:p w14:paraId="013A1BF7" w14:textId="77777777" w:rsidR="003C1B4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2D4F762C" w14:textId="77777777" w:rsidR="0021354D" w:rsidRPr="00186181" w:rsidRDefault="0021354D" w:rsidP="00186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Настоящая статья посвящена рассмотрению проблем, возникших в результате унификации правового регулирования деятельности хозяйственных обществ. В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работе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исследуются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вопросы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построения единой системы хозяйственных обществ, выявляются коллизии норм корпоративного права, предлагаются</w:t>
      </w:r>
      <w:r w:rsid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варианты их устранения. Особое внимание автор уделяет рассмотрению способов ограничения корпоративных прав, ставших едиными для участников всех</w:t>
      </w:r>
      <w:r w:rsid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непубличных обществ.</w:t>
      </w:r>
    </w:p>
    <w:p w14:paraId="5C754C9A" w14:textId="77777777" w:rsidR="003C1B4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1B089464" w14:textId="77777777" w:rsidR="0021354D" w:rsidRPr="00186181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21354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закон о хозяйственных обществах, корпорация, хозяйственное общество, корпоративные права, акции, ограничение прав, непу</w:t>
      </w:r>
      <w:r w:rsidRPr="00186181">
        <w:rPr>
          <w:rFonts w:ascii="Times New Roman" w:eastAsia="Newton-Regular" w:hAnsi="Times New Roman" w:cs="Times New Roman"/>
          <w:sz w:val="24"/>
          <w:szCs w:val="24"/>
          <w:lang w:val="ru-RU"/>
        </w:rPr>
        <w:t>бличное общество.</w:t>
      </w:r>
    </w:p>
    <w:p w14:paraId="3331736E" w14:textId="77777777" w:rsidR="003C1B4C" w:rsidRPr="00186181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0B261828" w14:textId="77777777" w:rsidR="0021354D" w:rsidRP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is devoted to consideration of the problems which have resulted from</w:t>
      </w:r>
      <w:r w:rsidR="00186181" w:rsidRPr="0018618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unification of legal regulation of activity of companies. Questions of creation of uniform</w:t>
      </w:r>
      <w:r w:rsidR="00186181" w:rsidRPr="0018618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system of companies are examined, collisions of norms of corporate law come to light,</w:t>
      </w:r>
      <w:r w:rsidR="00186181" w:rsidRPr="0018618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ways of their elimination are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lastRenderedPageBreak/>
        <w:t>offered. The author pays special attention to consideration</w:t>
      </w:r>
      <w:r w:rsidR="00186181" w:rsidRPr="0018618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of ways of restriction of the corporate rights which have become uniform for participants</w:t>
      </w:r>
      <w:r w:rsidR="00186181" w:rsidRPr="0018618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</w:rPr>
        <w:t>of all private companies.</w:t>
      </w:r>
    </w:p>
    <w:p w14:paraId="4F797E29" w14:textId="77777777" w:rsidR="003C1B4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E9DD9D" w14:textId="77777777" w:rsidR="0021354D" w:rsidRPr="0021354D" w:rsidRDefault="0021354D" w:rsidP="00186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1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Keywords: </w:t>
      </w:r>
      <w:proofErr w:type="gramStart"/>
      <w:r w:rsidRPr="0021354D">
        <w:rPr>
          <w:rFonts w:ascii="Times New Roman" w:eastAsia="Newton-Regular" w:hAnsi="Times New Roman" w:cs="Times New Roman"/>
          <w:sz w:val="24"/>
          <w:szCs w:val="24"/>
        </w:rPr>
        <w:t>companies</w:t>
      </w:r>
      <w:proofErr w:type="gramEnd"/>
      <w:r w:rsidRPr="0021354D">
        <w:rPr>
          <w:rFonts w:ascii="Times New Roman" w:eastAsia="Newton-Regular" w:hAnsi="Times New Roman" w:cs="Times New Roman"/>
          <w:sz w:val="24"/>
          <w:szCs w:val="24"/>
        </w:rPr>
        <w:t xml:space="preserve"> law, corporation, company, corporation rights, shares,</w:t>
      </w:r>
      <w:r w:rsidR="00186181" w:rsidRPr="0018618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1354D">
        <w:rPr>
          <w:rFonts w:ascii="Times New Roman" w:eastAsia="Newton-Regular" w:hAnsi="Times New Roman" w:cs="Times New Roman"/>
          <w:sz w:val="24"/>
          <w:szCs w:val="24"/>
        </w:rPr>
        <w:t>restriction of rights, private companies.</w:t>
      </w:r>
    </w:p>
    <w:p w14:paraId="60E78708" w14:textId="77777777" w:rsidR="003C1B4C" w:rsidRPr="00186181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14:paraId="2D342430" w14:textId="77777777" w:rsidR="0021354D" w:rsidRP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Научная жизнь</w:t>
      </w:r>
    </w:p>
    <w:p w14:paraId="445D0D98" w14:textId="77777777" w:rsidR="0021354D" w:rsidRP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40DF56FC" w14:textId="77777777" w:rsidR="0021354D" w:rsidRPr="003C1B4C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proofErr w:type="gramStart"/>
      <w:r w:rsidRPr="0021354D">
        <w:rPr>
          <w:rFonts w:ascii="Times New Roman" w:hAnsi="Times New Roman" w:cs="Times New Roman"/>
          <w:b/>
          <w:bCs/>
          <w:sz w:val="24"/>
          <w:szCs w:val="24"/>
          <w:lang w:val="ru-RU"/>
        </w:rPr>
        <w:t>Ю</w:t>
      </w:r>
      <w:r w:rsidRPr="0021354D">
        <w:rPr>
          <w:rFonts w:ascii="Times New Roman" w:hAnsi="Times New Roman" w:cs="Times New Roman"/>
          <w:b/>
          <w:bCs/>
          <w:sz w:val="24"/>
          <w:szCs w:val="24"/>
          <w:lang w:val="ru-RU"/>
        </w:rPr>
        <w:t>.Н.</w:t>
      </w:r>
      <w:proofErr w:type="gramEnd"/>
      <w:r w:rsidRPr="0021354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Сушкова, 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доктор исторических наук, декан юридического факультета Мордовского государственного университета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имени</w:t>
      </w:r>
      <w:proofErr w:type="spellEnd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Н. П. </w:t>
      </w:r>
      <w:proofErr w:type="spellStart"/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Огарева</w:t>
      </w:r>
      <w:proofErr w:type="spellEnd"/>
    </w:p>
    <w:p w14:paraId="5318E86C" w14:textId="77777777" w:rsidR="003C1B4C" w:rsidRDefault="003C1B4C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7D996021" w14:textId="77777777" w:rsidR="0021354D" w:rsidRPr="0021354D" w:rsidRDefault="0021354D" w:rsidP="00E8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  <w:r w:rsidRPr="0021354D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Национально-государственное строительство</w:t>
      </w:r>
      <w:r w:rsidR="00186181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354D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в Российской империи и СССР</w:t>
      </w:r>
    </w:p>
    <w:p w14:paraId="0009DD95" w14:textId="77777777" w:rsidR="0021354D" w:rsidRPr="00186181" w:rsidRDefault="0021354D" w:rsidP="00186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21354D">
        <w:rPr>
          <w:rFonts w:ascii="Times New Roman" w:eastAsia="Newton-Regular" w:hAnsi="Times New Roman" w:cs="Times New Roman"/>
          <w:sz w:val="24"/>
          <w:szCs w:val="24"/>
          <w:lang w:val="ru-RU"/>
        </w:rPr>
        <w:t>(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обзор материалов </w:t>
      </w:r>
      <w:r w:rsidR="00186181">
        <w:rPr>
          <w:rFonts w:ascii="Times New Roman" w:eastAsia="Newton-Italic" w:hAnsi="Times New Roman" w:cs="Times New Roman"/>
          <w:i/>
          <w:iCs/>
          <w:sz w:val="24"/>
          <w:szCs w:val="24"/>
        </w:rPr>
        <w:t>VIII</w:t>
      </w:r>
      <w:r w:rsidRPr="0021354D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Всероссийского съезда историков-</w:t>
      </w:r>
      <w:r w:rsidRPr="0018618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правоведов России</w:t>
      </w:r>
      <w:r w:rsidRPr="00186181">
        <w:rPr>
          <w:rFonts w:ascii="Times New Roman" w:eastAsia="Newton-Regular" w:hAnsi="Times New Roman" w:cs="Times New Roman"/>
          <w:sz w:val="24"/>
          <w:szCs w:val="24"/>
          <w:lang w:val="ru-RU"/>
        </w:rPr>
        <w:t>)</w:t>
      </w:r>
    </w:p>
    <w:p w14:paraId="15865FE5" w14:textId="77777777" w:rsidR="005B2726" w:rsidRPr="00186181" w:rsidRDefault="005B2726" w:rsidP="00E81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F198199" w14:textId="77777777" w:rsidR="005B2726" w:rsidRPr="00186181" w:rsidRDefault="005B2726" w:rsidP="00E81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08DB4EC" w14:textId="77777777" w:rsidR="005B2726" w:rsidRPr="00186181" w:rsidRDefault="005B2726" w:rsidP="00E81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762B068" w14:textId="77777777" w:rsidR="005B2726" w:rsidRPr="00186181" w:rsidRDefault="005B2726" w:rsidP="00E81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0164432" w14:textId="77777777" w:rsidR="005B2726" w:rsidRPr="00186181" w:rsidRDefault="005B2726" w:rsidP="00E81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14317C5" w14:textId="77777777" w:rsidR="005B2726" w:rsidRPr="00186181" w:rsidRDefault="005B2726" w:rsidP="00E81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F39FBC" w14:textId="77777777" w:rsidR="005B2726" w:rsidRPr="00186181" w:rsidRDefault="005B2726" w:rsidP="00E81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E43A77F" w14:textId="77777777" w:rsidR="005B2726" w:rsidRPr="00186181" w:rsidRDefault="005B2726" w:rsidP="00E81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47D6F74" w14:textId="77777777" w:rsidR="005B2726" w:rsidRPr="00186181" w:rsidRDefault="005B2726" w:rsidP="00E81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299772" w14:textId="77777777" w:rsidR="003C1B4C" w:rsidRDefault="003C1B4C" w:rsidP="00412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5A3D63E" w14:textId="77777777" w:rsidR="003C1B4C" w:rsidRDefault="003C1B4C" w:rsidP="00412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95EDCAA" w14:textId="77777777" w:rsidR="003C1B4C" w:rsidRDefault="003C1B4C" w:rsidP="00412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7446548" w14:textId="77777777" w:rsidR="003C1B4C" w:rsidRDefault="003C1B4C" w:rsidP="00412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3C1B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ton-Italic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ton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7D"/>
    <w:rsid w:val="000012EC"/>
    <w:rsid w:val="00011986"/>
    <w:rsid w:val="00020C44"/>
    <w:rsid w:val="00040FAA"/>
    <w:rsid w:val="00041D9B"/>
    <w:rsid w:val="0004656D"/>
    <w:rsid w:val="000468D5"/>
    <w:rsid w:val="000575A3"/>
    <w:rsid w:val="00094A79"/>
    <w:rsid w:val="000D7D1A"/>
    <w:rsid w:val="00117044"/>
    <w:rsid w:val="00121AAA"/>
    <w:rsid w:val="00132FA1"/>
    <w:rsid w:val="001628F7"/>
    <w:rsid w:val="00163605"/>
    <w:rsid w:val="00186181"/>
    <w:rsid w:val="001B351B"/>
    <w:rsid w:val="001C58F5"/>
    <w:rsid w:val="00200B4E"/>
    <w:rsid w:val="0021354D"/>
    <w:rsid w:val="002578E0"/>
    <w:rsid w:val="00276CA3"/>
    <w:rsid w:val="002917C7"/>
    <w:rsid w:val="002972C0"/>
    <w:rsid w:val="002A43EF"/>
    <w:rsid w:val="002C56F1"/>
    <w:rsid w:val="002D15A8"/>
    <w:rsid w:val="002D4A7C"/>
    <w:rsid w:val="00334CF7"/>
    <w:rsid w:val="00366C5D"/>
    <w:rsid w:val="003C1349"/>
    <w:rsid w:val="003C1B4C"/>
    <w:rsid w:val="003C485A"/>
    <w:rsid w:val="003E028C"/>
    <w:rsid w:val="00412688"/>
    <w:rsid w:val="0041777B"/>
    <w:rsid w:val="004A3297"/>
    <w:rsid w:val="004E0064"/>
    <w:rsid w:val="004E63EA"/>
    <w:rsid w:val="0052501C"/>
    <w:rsid w:val="005379FA"/>
    <w:rsid w:val="00542501"/>
    <w:rsid w:val="00551DFF"/>
    <w:rsid w:val="005734A5"/>
    <w:rsid w:val="0057765B"/>
    <w:rsid w:val="00587AC5"/>
    <w:rsid w:val="005B2726"/>
    <w:rsid w:val="005D07A8"/>
    <w:rsid w:val="005E23C8"/>
    <w:rsid w:val="00602221"/>
    <w:rsid w:val="0060720B"/>
    <w:rsid w:val="0062793D"/>
    <w:rsid w:val="00654853"/>
    <w:rsid w:val="006666B4"/>
    <w:rsid w:val="006B0B3F"/>
    <w:rsid w:val="00700213"/>
    <w:rsid w:val="00702F94"/>
    <w:rsid w:val="007072EB"/>
    <w:rsid w:val="007102D2"/>
    <w:rsid w:val="00711F8E"/>
    <w:rsid w:val="0079686C"/>
    <w:rsid w:val="007B3A7A"/>
    <w:rsid w:val="007D17F2"/>
    <w:rsid w:val="007F750C"/>
    <w:rsid w:val="00801C25"/>
    <w:rsid w:val="00815CFD"/>
    <w:rsid w:val="008225B5"/>
    <w:rsid w:val="00827557"/>
    <w:rsid w:val="00885983"/>
    <w:rsid w:val="008A7E3E"/>
    <w:rsid w:val="00904493"/>
    <w:rsid w:val="00906B38"/>
    <w:rsid w:val="009151F1"/>
    <w:rsid w:val="00932E66"/>
    <w:rsid w:val="00934FCF"/>
    <w:rsid w:val="00967529"/>
    <w:rsid w:val="00976620"/>
    <w:rsid w:val="00993E1C"/>
    <w:rsid w:val="009A7B6B"/>
    <w:rsid w:val="009B5E0D"/>
    <w:rsid w:val="009E2CF3"/>
    <w:rsid w:val="00A15428"/>
    <w:rsid w:val="00A252D7"/>
    <w:rsid w:val="00AA12D9"/>
    <w:rsid w:val="00AA7723"/>
    <w:rsid w:val="00AD264E"/>
    <w:rsid w:val="00B138A6"/>
    <w:rsid w:val="00B33674"/>
    <w:rsid w:val="00B524F9"/>
    <w:rsid w:val="00B5284B"/>
    <w:rsid w:val="00B537D9"/>
    <w:rsid w:val="00B560CC"/>
    <w:rsid w:val="00BB7690"/>
    <w:rsid w:val="00BC0727"/>
    <w:rsid w:val="00BF555A"/>
    <w:rsid w:val="00C22AE6"/>
    <w:rsid w:val="00C41462"/>
    <w:rsid w:val="00C520B7"/>
    <w:rsid w:val="00C77EE3"/>
    <w:rsid w:val="00C83DCB"/>
    <w:rsid w:val="00CB53A7"/>
    <w:rsid w:val="00CE5D22"/>
    <w:rsid w:val="00CF5C46"/>
    <w:rsid w:val="00D369A1"/>
    <w:rsid w:val="00DB141C"/>
    <w:rsid w:val="00DC3BFC"/>
    <w:rsid w:val="00DD59ED"/>
    <w:rsid w:val="00E04B00"/>
    <w:rsid w:val="00E0538C"/>
    <w:rsid w:val="00E062CF"/>
    <w:rsid w:val="00E21BE2"/>
    <w:rsid w:val="00E75850"/>
    <w:rsid w:val="00E817FC"/>
    <w:rsid w:val="00EA31FB"/>
    <w:rsid w:val="00EA7167"/>
    <w:rsid w:val="00EC3860"/>
    <w:rsid w:val="00EE0745"/>
    <w:rsid w:val="00F03D72"/>
    <w:rsid w:val="00F05828"/>
    <w:rsid w:val="00F26231"/>
    <w:rsid w:val="00F4097D"/>
    <w:rsid w:val="00F40F87"/>
    <w:rsid w:val="00F43719"/>
    <w:rsid w:val="00F60067"/>
    <w:rsid w:val="00F66A22"/>
    <w:rsid w:val="00FA2E1E"/>
    <w:rsid w:val="00FB4CA7"/>
    <w:rsid w:val="00F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819C"/>
  <w15:chartTrackingRefBased/>
  <w15:docId w15:val="{DF07BD1C-9F27-44BE-98BE-9166B08F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2379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Mazurkov</dc:creator>
  <cp:keywords/>
  <dc:description/>
  <cp:lastModifiedBy>Tatiana</cp:lastModifiedBy>
  <cp:revision>27</cp:revision>
  <dcterms:created xsi:type="dcterms:W3CDTF">2017-04-21T09:27:00Z</dcterms:created>
  <dcterms:modified xsi:type="dcterms:W3CDTF">2019-03-31T23:25:00Z</dcterms:modified>
</cp:coreProperties>
</file>