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E433" w14:textId="756D7EBA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14:paraId="4F654913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14:paraId="7BB141DA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14:paraId="5A38543C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14:paraId="3E046E5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14:paraId="4B0AED8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483F84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</w:t>
      </w:r>
      <w:proofErr w:type="gramEnd"/>
      <w:r w:rsidRPr="00F4097D">
        <w:rPr>
          <w:rFonts w:ascii="Times New Roman" w:hAnsi="Times New Roman" w:cs="Times New Roman"/>
          <w:sz w:val="24"/>
          <w:szCs w:val="24"/>
          <w:lang w:val="ru-RU"/>
        </w:rPr>
        <w:t xml:space="preserve"> один раз в два месяца</w:t>
      </w:r>
    </w:p>
    <w:p w14:paraId="57B9B079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B4062D" w14:textId="7D45E5A3" w:rsidR="005379FA" w:rsidRDefault="009B5E0D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134125" w:rsidRPr="00134125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201</w:t>
      </w:r>
      <w:r w:rsidR="005B272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</w:t>
      </w:r>
      <w:r w:rsidR="00134125">
        <w:rPr>
          <w:rFonts w:ascii="Times New Roman" w:hAnsi="Times New Roman" w:cs="Times New Roman"/>
          <w:b/>
          <w:sz w:val="24"/>
          <w:szCs w:val="24"/>
          <w:lang w:val="ru-RU"/>
        </w:rPr>
        <w:t>ноябрь</w:t>
      </w:r>
      <w:r w:rsidR="0036650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134125">
        <w:rPr>
          <w:rFonts w:ascii="Times New Roman" w:hAnsi="Times New Roman" w:cs="Times New Roman"/>
          <w:b/>
          <w:sz w:val="24"/>
          <w:szCs w:val="24"/>
          <w:lang w:val="ru-RU"/>
        </w:rPr>
        <w:t>дека</w:t>
      </w:r>
      <w:r w:rsidR="00366500">
        <w:rPr>
          <w:rFonts w:ascii="Times New Roman" w:hAnsi="Times New Roman" w:cs="Times New Roman"/>
          <w:b/>
          <w:sz w:val="24"/>
          <w:szCs w:val="24"/>
          <w:lang w:val="ru-RU"/>
        </w:rPr>
        <w:t>брь</w:t>
      </w:r>
    </w:p>
    <w:p w14:paraId="34303A95" w14:textId="39443614" w:rsidR="00F72381" w:rsidRDefault="00F72381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78FDF9" w14:textId="47B86174" w:rsidR="00134125" w:rsidRPr="00134125" w:rsidRDefault="00BF0337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Newton-Italic" w:eastAsia="Newton-Italic" w:cs="Newton-Italic"/>
          <w:i/>
          <w:iCs/>
          <w:sz w:val="19"/>
          <w:szCs w:val="19"/>
          <w:lang w:val="ru-RU"/>
        </w:rPr>
      </w:pPr>
      <w:bookmarkStart w:id="0" w:name="_Hlk18341969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Е.А.  </w:t>
      </w:r>
      <w:r w:rsidR="00134125"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Су</w:t>
      </w:r>
      <w:r w:rsidR="00395AA1"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х</w:t>
      </w:r>
      <w:r w:rsidR="00134125"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анов</w:t>
      </w:r>
      <w:r w:rsidR="00395AA1">
        <w:rPr>
          <w:rFonts w:ascii="Times New Roman" w:eastAsia="Newton-Regular" w:hAnsi="Times New Roman" w:cs="Times New Roman"/>
          <w:sz w:val="24"/>
          <w:szCs w:val="24"/>
          <w:lang w:val="ru-RU"/>
        </w:rPr>
        <w:t>,</w:t>
      </w:r>
      <w:r w:rsidR="00134125" w:rsidRPr="00134125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доктор юридических наук,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профессор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заслуженный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деятель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науки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РФ,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заведующий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кафедрой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гражданского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юридического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факультета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МГУ</w:t>
      </w:r>
    </w:p>
    <w:p w14:paraId="216865C0" w14:textId="77777777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17FB7C93" w14:textId="34CFD0F7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Гражданский кодекс в поиске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баланса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частных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публичных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интересов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4A397BD" w14:textId="77777777" w:rsidR="00BD1558" w:rsidRDefault="00BD1558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7B5C68AF" w14:textId="6CED882F" w:rsidR="00BD1558" w:rsidRPr="00BD1558" w:rsidRDefault="00BD1558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статье освещаются некоторые основополагающие институты Общей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части гражданского права, а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также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корпоративного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вещного права, которые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должны закреплять баланс частных и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публичных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интересов; показаны их недостатки и возможные перспективы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развития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Обосновывается необходимость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известного изменения в понимании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субъектов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частных и публичных (общественных) интересов и в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их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содержании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точки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зрения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общих интересов всех участников гражданского (имущественного) оборота.</w:t>
      </w:r>
    </w:p>
    <w:p w14:paraId="14F1915A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2390713E" w14:textId="51285FD7" w:rsidR="00BD1558" w:rsidRPr="00BD1558" w:rsidRDefault="00BD1558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баланс интересов, вещное право, добросовестность, долевое строительство, Земельный кодекс, гражданский оборот, Гражданский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кодекс, корпорации, негосударственные пенсионные фонды, публичный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интерес, уставный капитал, частный </w:t>
      </w:r>
      <w:proofErr w:type="spellStart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интерес</w:t>
      </w:r>
      <w:proofErr w:type="spellEnd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4FD34E21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5A471FEE" w14:textId="1261DFCC" w:rsidR="00BD1558" w:rsidRPr="00BD1558" w:rsidRDefault="00BD1558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highlights some of the fundamental institutions of the General Part of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Civil Law, as well as corporate and property law, which should fix the balance of private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and public interests; their shortcomings and possible development prospects are shown.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The necessity of a well-known change in understanding the subjects of private and public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(public) interests and in their content from the point of view of the common interests of all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participants in the civil (property) turnover is substantiated.</w:t>
      </w:r>
    </w:p>
    <w:p w14:paraId="7593E48E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3284F494" w14:textId="78692A97" w:rsidR="00BD1558" w:rsidRPr="00BD1558" w:rsidRDefault="00BD1558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balance of interests, property law, good faith, share building, Land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Code, civil turnover, Civil Code, corporations, non-state pension funds, public interest,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authorized capital, private interest.</w:t>
      </w:r>
    </w:p>
    <w:p w14:paraId="4DC3B547" w14:textId="77777777" w:rsidR="00134125" w:rsidRPr="00BD1558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25E6DF75" w14:textId="3D1445BA" w:rsidR="00134125" w:rsidRPr="00BF0337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sz w:val="24"/>
          <w:szCs w:val="24"/>
          <w:lang w:val="ru-RU"/>
        </w:rPr>
      </w:pPr>
      <w:r w:rsidRPr="00BF0337">
        <w:rPr>
          <w:rFonts w:ascii="Times New Roman" w:eastAsia="Newton-Italic" w:hAnsi="Times New Roman" w:cs="Times New Roman"/>
          <w:sz w:val="24"/>
          <w:szCs w:val="24"/>
          <w:lang w:val="ru-RU"/>
        </w:rPr>
        <w:t xml:space="preserve">Вопросы уголовного права и </w:t>
      </w:r>
      <w:proofErr w:type="spellStart"/>
      <w:r w:rsidRPr="00BF0337">
        <w:rPr>
          <w:rFonts w:ascii="Times New Roman" w:eastAsia="Newton-Italic" w:hAnsi="Times New Roman" w:cs="Times New Roman"/>
          <w:sz w:val="24"/>
          <w:szCs w:val="24"/>
          <w:lang w:val="ru-RU"/>
        </w:rPr>
        <w:t>процесса</w:t>
      </w:r>
      <w:proofErr w:type="spellEnd"/>
    </w:p>
    <w:p w14:paraId="08C45927" w14:textId="77777777" w:rsidR="00134125" w:rsidRPr="00395AA1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32A90322" w14:textId="3A8A323C" w:rsidR="00134125" w:rsidRPr="00134125" w:rsidRDefault="00BF0337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Newton-Italic" w:eastAsia="Newton-Italic" w:cs="Newton-Italic"/>
          <w:i/>
          <w:iCs/>
          <w:color w:val="000000"/>
          <w:sz w:val="19"/>
          <w:szCs w:val="19"/>
          <w:lang w:val="ru-RU"/>
        </w:rPr>
      </w:pPr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П.С. </w:t>
      </w:r>
      <w:proofErr w:type="spellStart"/>
      <w:r w:rsidR="00134125"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Абдуллоев</w:t>
      </w:r>
      <w:proofErr w:type="spellEnd"/>
      <w:r w:rsidR="00395AA1">
        <w:rPr>
          <w:rFonts w:ascii="Times New Roman" w:eastAsia="Newton-Regular" w:hAnsi="Times New Roman" w:cs="Times New Roman"/>
          <w:sz w:val="24"/>
          <w:szCs w:val="24"/>
          <w:lang w:val="ru-RU"/>
        </w:rPr>
        <w:t>,</w:t>
      </w:r>
      <w:r w:rsidR="00134125" w:rsidRPr="00134125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кандидат юридических наук,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доцент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кафедры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правосудия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и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прокурорского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надзора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заместитель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декана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по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науке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и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международным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отношениям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юридического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факультета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Таджикского национального университета </w:t>
      </w:r>
      <w:r w:rsidR="00134125" w:rsidRPr="00025DA7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1</w:t>
      </w:r>
      <w:r w:rsidR="00134125" w:rsidRPr="00134125">
        <w:rPr>
          <w:rFonts w:ascii="Newton-Italic" w:eastAsia="Newton-Italic" w:cs="Newton-Italic"/>
          <w:i/>
          <w:iCs/>
          <w:color w:val="FFFFFF"/>
          <w:sz w:val="11"/>
          <w:szCs w:val="11"/>
          <w:lang w:val="ru-RU"/>
        </w:rPr>
        <w:t>9</w:t>
      </w:r>
    </w:p>
    <w:p w14:paraId="700F8F5C" w14:textId="77777777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1048A881" w14:textId="0622ED7B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lastRenderedPageBreak/>
        <w:t xml:space="preserve">Правовая природа и виды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выдачи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лиц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рамках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международного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сотрудничества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в уголовно-процессуальной сфере постсоветских стран </w:t>
      </w:r>
    </w:p>
    <w:p w14:paraId="501C3B2F" w14:textId="77777777" w:rsidR="00BD1558" w:rsidRDefault="00BD1558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0CA98530" w14:textId="1A191118" w:rsidR="00BD1558" w:rsidRPr="00BD1558" w:rsidRDefault="00BD1558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статье рассматриваются актуальные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вопросы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правовой природы и разновидности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выдачи лиц в рамках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международного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сотрудничества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Отмечается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отсутствие в научной юридической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литературе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единого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мнения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относительноместа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института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выдачи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лиц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отрасли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системе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По мнению автора,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национальной правовой системе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постсоветских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стран институт выдачи лиц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базируется на конституционном, уголовном и уголовно-процессуальном праве,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что имеет исторические корни. Материальное право предусматривает возможность и основания выдачи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лиц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нормы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уголовного кодекса имеют значение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при определении наказания, двойной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криминализации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т. п. В процессуальном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праве предусматривается немало норм,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которые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обеспечивают порядок и процесс выдачи лиц.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Автор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исходит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из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того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что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выдача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лиц в рамках международного сотрудничества относится к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международному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уголовному праву и международному уголовному процессу. В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связи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 развитием института выдачи лиц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рамках международного сотрудничества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уголовным делам появилось много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видов выдачи, которые нуждаются в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классификации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В частности, автор выделяет в качестве самостоятельного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вида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выдачу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лиц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постсоветских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странах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0C438528" w14:textId="77777777" w:rsidR="00BD1558" w:rsidRDefault="00BD1558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08BCE292" w14:textId="65EF446A" w:rsidR="00BD1558" w:rsidRDefault="00BD1558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sz w:val="24"/>
          <w:szCs w:val="24"/>
          <w:lang w:val="ru-RU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правовая природа, виды выдачи лиц, международное сотрудничество, уголовный процесс, постсоветские страны, международные договоры, уголовно-процессуальное законодательство, иностранное государство,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уголовное дело.</w:t>
      </w:r>
    </w:p>
    <w:p w14:paraId="26480C69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569F0D76" w14:textId="45B4059C" w:rsidR="00BD1558" w:rsidRPr="00BD1558" w:rsidRDefault="00BD1558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considers actual issues of legal nature and variety of extradition of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persons in the framework of international cooperation. There is a lack of consensus in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scientific legal literature regarding the place of institution of extradition in the branch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and system of law. According to the author, in the national legal system of post-Soviet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countries, the institution of extradition </w:t>
      </w:r>
      <w:proofErr w:type="gram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are</w:t>
      </w:r>
      <w:proofErr w:type="gram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based on constitutional, criminal and criminal-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procedural law which has historic roots. Substantive law provides for the possibility and grounds for extradition of persons and norms of criminal code are important in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determining of punishment, double criminalization, etc. The procedural law provides for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a lot of rules which ensure order and process for extradition of persons. The author proceeds</w:t>
      </w:r>
    </w:p>
    <w:p w14:paraId="6BA52F5D" w14:textId="4246C5D4" w:rsidR="00BD1558" w:rsidRPr="00BD1558" w:rsidRDefault="00BD1558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from the fact that extradition of persons within the framework of international cooperation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relates to international criminal law and international criminal procedure. In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connection with development of the institution of surrender of persons in the framework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of international cooperation in criminal matters, many kinds of surrender of persons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have emerged that need classification. In particular, the author identifies extradition of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persons in post-Soviet countries as a separate type.</w:t>
      </w:r>
    </w:p>
    <w:p w14:paraId="27318214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04FD3BB0" w14:textId="27208F98" w:rsidR="00BD1558" w:rsidRPr="00BD1558" w:rsidRDefault="00BD1558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bookmarkStart w:id="1" w:name="_GoBack"/>
      <w:bookmarkEnd w:id="1"/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legal nature, kinds of surrender of persons, international cooperation,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criminal procedure, post-Soviet countries, international treaties, criminal procedural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legislation, foreign state, criminal case.</w:t>
      </w:r>
    </w:p>
    <w:p w14:paraId="39B43F91" w14:textId="77777777" w:rsidR="00134125" w:rsidRPr="00BD1558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</w:p>
    <w:p w14:paraId="0847F3C9" w14:textId="1836D7FC" w:rsidR="00134125" w:rsidRPr="00134125" w:rsidRDefault="00BF0337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Newton-Italic" w:eastAsia="Newton-Italic" w:cs="Newton-Italic"/>
          <w:i/>
          <w:iCs/>
          <w:sz w:val="19"/>
          <w:szCs w:val="19"/>
          <w:lang w:val="ru-RU"/>
        </w:rPr>
      </w:pPr>
      <w:proofErr w:type="gram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Е.Г.</w:t>
      </w:r>
      <w:proofErr w:type="gram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134125"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Быкова</w:t>
      </w:r>
      <w:r w:rsidR="00025DA7">
        <w:rPr>
          <w:rFonts w:ascii="Times New Roman" w:eastAsia="Newton-Regular" w:hAnsi="Times New Roman" w:cs="Times New Roman"/>
          <w:sz w:val="24"/>
          <w:szCs w:val="24"/>
          <w:lang w:val="ru-RU"/>
        </w:rPr>
        <w:t>,</w:t>
      </w:r>
      <w:r w:rsidR="00134125" w:rsidRPr="00134125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кандидат юридических наук,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доцент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кафедры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уголовного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криминологии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Екатеринбургского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филиала ФГКОУ ВО </w:t>
      </w:r>
      <w:r w:rsidR="00025DA7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«</w:t>
      </w:r>
      <w:r w:rsidR="00134125" w:rsidRPr="00025DA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Московская академия Следственного комитета Российской Федерации</w:t>
      </w:r>
      <w:r w:rsidR="00025DA7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»</w:t>
      </w:r>
    </w:p>
    <w:p w14:paraId="78E4E950" w14:textId="77777777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7F03089D" w14:textId="326F042F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lastRenderedPageBreak/>
        <w:t xml:space="preserve">Прерывание беременности как следствие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ненадлежащего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оказания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медицинской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помощи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9B7D0D6" w14:textId="77777777" w:rsidR="00BD1558" w:rsidRDefault="00BD1558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7A39EA00" w14:textId="47A3E72D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статье рассматриваются проблемы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правовой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оценки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гибели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плода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Автор</w:t>
      </w:r>
      <w:r w:rsid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демонстрирует отсутствие единства мнений по разрешению данного вопроса</w:t>
      </w:r>
      <w:r w:rsid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среди ученых в области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уголовного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в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судебной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практике</w:t>
      </w:r>
      <w:proofErr w:type="spellEnd"/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.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заключени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e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делается вывод о необходимости изменения уголовного законодательства с целью превентивного воздействия на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медицинских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работников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75118DB1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22212091" w14:textId="3BCCC9C2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>Ключевые слова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: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беременность, медицинская услуга, медицинская помощь, новорожденный, эмбрион, гибель </w:t>
      </w:r>
      <w:proofErr w:type="spellStart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плода</w:t>
      </w:r>
      <w:proofErr w:type="spellEnd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пациент</w:t>
      </w:r>
      <w:proofErr w:type="spellEnd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умысел</w:t>
      </w:r>
      <w:proofErr w:type="spellEnd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ст</w:t>
      </w:r>
      <w:proofErr w:type="spellEnd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. 238 УК</w:t>
      </w:r>
      <w:r w:rsidR="000B11F6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РФ, ст. 118 УК РФ, </w:t>
      </w:r>
      <w:proofErr w:type="spellStart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ст</w:t>
      </w:r>
      <w:proofErr w:type="spellEnd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. 109 УК РФ.</w:t>
      </w:r>
    </w:p>
    <w:p w14:paraId="4BCCF625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4A12A493" w14:textId="79B244F7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examines the problems of legal assessment of fetal death. The author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demonstrates a lack of consensus on the resolution of this issue among scholars in the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field of criminal law and in judicial practice. In conclusion, it is concluded that criminal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law changes are necessary with a view to the preventive impact on medical workers.</w:t>
      </w:r>
    </w:p>
    <w:p w14:paraId="4ED6738A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680051A5" w14:textId="7569E10F" w:rsidR="00395AA1" w:rsidRPr="000B11F6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pregnancy, medical service, medical assistance, newborn, embryo,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fetal death, patient, intent, Art. 238 of the Criminal Code, Art. 118 of the Criminal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Code, Art. 109 of the Criminal Code.</w:t>
      </w:r>
    </w:p>
    <w:p w14:paraId="6C7B90CF" w14:textId="77777777" w:rsidR="00134125" w:rsidRPr="00BD1558" w:rsidRDefault="00134125" w:rsidP="00DE243F">
      <w:pPr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55D84BFF" w14:textId="00D7A903" w:rsidR="00134125" w:rsidRPr="00BF0337" w:rsidRDefault="00134125" w:rsidP="00DE243F">
      <w:pPr>
        <w:jc w:val="both"/>
        <w:rPr>
          <w:rFonts w:ascii="Times New Roman" w:eastAsia="Newton-Italic" w:hAnsi="Times New Roman" w:cs="Times New Roman"/>
          <w:sz w:val="24"/>
          <w:szCs w:val="24"/>
        </w:rPr>
      </w:pPr>
      <w:r w:rsidRPr="00BF0337">
        <w:rPr>
          <w:rFonts w:ascii="Times New Roman" w:eastAsia="Newton-Italic" w:hAnsi="Times New Roman" w:cs="Times New Roman"/>
          <w:sz w:val="24"/>
          <w:szCs w:val="24"/>
          <w:lang w:val="ru-RU"/>
        </w:rPr>
        <w:t>Вопросы сравнительного правоведения</w:t>
      </w:r>
    </w:p>
    <w:p w14:paraId="64616341" w14:textId="36BBD7B6" w:rsidR="00134125" w:rsidRP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6BABCD6C" w14:textId="30D3C850" w:rsidR="00134125" w:rsidRPr="00134125" w:rsidRDefault="00BF0337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Newton-Italic" w:eastAsia="Newton-Italic" w:cs="Newton-Italic"/>
          <w:i/>
          <w:iCs/>
          <w:color w:val="000000"/>
          <w:sz w:val="19"/>
          <w:szCs w:val="19"/>
          <w:lang w:val="ru-RU"/>
        </w:rPr>
      </w:pPr>
      <w:proofErr w:type="gramStart"/>
      <w:r w:rsidRPr="00BF033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Д.Д.</w:t>
      </w:r>
      <w:proofErr w:type="gramEnd"/>
      <w:r w:rsidRPr="00BF033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134125" w:rsidRPr="00BF033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Харламов</w:t>
      </w:r>
      <w:r w:rsidRPr="00BF0337">
        <w:rPr>
          <w:rFonts w:ascii="Times New Roman" w:eastAsia="Newton-Regular" w:hAnsi="Times New Roman" w:cs="Times New Roman"/>
          <w:sz w:val="24"/>
          <w:szCs w:val="24"/>
          <w:lang w:val="ru-RU"/>
        </w:rPr>
        <w:t>,</w:t>
      </w:r>
      <w:r w:rsidR="00134125" w:rsidRPr="00BF0337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кандидат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юридических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наук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ассистент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кафедры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уголовного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права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и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криминологии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юридического факультета МГУ </w:t>
      </w:r>
      <w:r w:rsidR="00134125" w:rsidRPr="00BF0337">
        <w:rPr>
          <w:rFonts w:ascii="Times New Roman" w:eastAsia="Newton-Regular" w:hAnsi="Times New Roman" w:cs="Times New Roman"/>
          <w:color w:val="FFFFFF"/>
          <w:sz w:val="24"/>
          <w:szCs w:val="24"/>
          <w:lang w:val="ru-RU"/>
        </w:rPr>
        <w:t>2</w:t>
      </w:r>
      <w:r w:rsidR="00134125" w:rsidRPr="00134125">
        <w:rPr>
          <w:rFonts w:ascii="Newton-Regular" w:eastAsia="Newton-Regular" w:cs="Newton-Regular"/>
          <w:color w:val="FFFFFF"/>
          <w:sz w:val="11"/>
          <w:szCs w:val="11"/>
          <w:lang w:val="ru-RU"/>
        </w:rPr>
        <w:t>4</w:t>
      </w:r>
    </w:p>
    <w:p w14:paraId="7BA730EB" w14:textId="77777777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63DA00D0" w14:textId="57C8BB4F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Уголовная ответственность за вымогательство в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России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Германии</w:t>
      </w:r>
      <w:proofErr w:type="spell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6CF5083D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1F0B15BB" w14:textId="778E34A8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Статья посвящена проблемам ответственности за вымогательство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уголовном праве России и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Германии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Автор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приходит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к выводу о сходстве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подходов к регламентации уголовной ответственности за вымогательство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российском и германском уголовном праве: вымогательство рассматривается в качестве преступления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против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имущества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как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целого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Автор также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выявляет существующие различия в квалификации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вымогательства в праве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обеих стран.</w:t>
      </w:r>
    </w:p>
    <w:p w14:paraId="476296ED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71432A32" w14:textId="3F1753CA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уголовное право, право Германии, ответственность за</w:t>
      </w:r>
      <w:r w:rsidR="000B11F6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вымогательство, преступления против собственности, преступления против</w:t>
      </w:r>
      <w:r w:rsidR="000B11F6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имущества как целого, квалификация преступлений, российское право</w:t>
      </w:r>
      <w:r w:rsidR="000B11F6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00ED0F2C" w14:textId="77777777" w:rsidR="000B11F6" w:rsidRP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4AF348DF" w14:textId="56F0B37C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is devoted to the problems of criminal liability for extortion in Russia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and Germany. The author concludes that there are similar approaches to the regulation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of criminal liability for extortion in Russian and German criminal law: extortion is considered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as crime against </w:t>
      </w:r>
      <w:proofErr w:type="gram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property as a whole</w:t>
      </w:r>
      <w:proofErr w:type="gram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. The author also reveals existing differences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in the qualification of extortion in the law of both countries.</w:t>
      </w:r>
    </w:p>
    <w:p w14:paraId="0D48CD6C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4AC6B664" w14:textId="2644BDCA" w:rsidR="00395AA1" w:rsidRPr="000B11F6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criminal law, German law, liability for extortion, crimes against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 xml:space="preserve">property, crimes against </w:t>
      </w:r>
      <w:proofErr w:type="gramStart"/>
      <w:r w:rsidRPr="00BD1558">
        <w:rPr>
          <w:rFonts w:ascii="Times New Roman" w:eastAsia="Newton-Regular" w:hAnsi="Times New Roman" w:cs="Times New Roman"/>
          <w:sz w:val="24"/>
          <w:szCs w:val="24"/>
        </w:rPr>
        <w:t>property as a whole, qualification</w:t>
      </w:r>
      <w:proofErr w:type="gramEnd"/>
      <w:r w:rsidRPr="00BD1558">
        <w:rPr>
          <w:rFonts w:ascii="Times New Roman" w:eastAsia="Newton-Regular" w:hAnsi="Times New Roman" w:cs="Times New Roman"/>
          <w:sz w:val="24"/>
          <w:szCs w:val="24"/>
        </w:rPr>
        <w:t xml:space="preserve"> of crimes, Russian law.</w:t>
      </w:r>
    </w:p>
    <w:p w14:paraId="7571E795" w14:textId="77777777" w:rsidR="00134125" w:rsidRPr="00395AA1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3D5E294B" w14:textId="580C930B" w:rsidR="00134125" w:rsidRPr="00BF0337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sz w:val="24"/>
          <w:szCs w:val="24"/>
          <w:lang w:val="ru-RU"/>
        </w:rPr>
      </w:pPr>
      <w:r w:rsidRPr="00BF0337">
        <w:rPr>
          <w:rFonts w:ascii="Times New Roman" w:eastAsia="Newton-Italic" w:hAnsi="Times New Roman" w:cs="Times New Roman"/>
          <w:sz w:val="24"/>
          <w:szCs w:val="24"/>
          <w:lang w:val="ru-RU"/>
        </w:rPr>
        <w:t>Проблемы университетского образования</w:t>
      </w:r>
    </w:p>
    <w:p w14:paraId="5A18EBCD" w14:textId="77777777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2E37F092" w14:textId="641265AF" w:rsidR="00134125" w:rsidRPr="00134125" w:rsidRDefault="00BF0337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Newton-Italic" w:eastAsia="Newton-Italic" w:cs="Newton-Italic"/>
          <w:i/>
          <w:iCs/>
          <w:color w:val="000000"/>
          <w:sz w:val="19"/>
          <w:szCs w:val="19"/>
          <w:lang w:val="ru-RU"/>
        </w:rPr>
      </w:pPr>
      <w:proofErr w:type="gram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М.Н.</w:t>
      </w:r>
      <w:proofErr w:type="gram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134125"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Марче</w:t>
      </w:r>
      <w:r w:rsidR="00025DA7"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н</w:t>
      </w:r>
      <w:r w:rsidR="00134125"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ко</w:t>
      </w:r>
      <w:r w:rsidR="00025DA7">
        <w:rPr>
          <w:rFonts w:ascii="Times New Roman" w:eastAsia="Newton-Regular" w:hAnsi="Times New Roman" w:cs="Times New Roman"/>
          <w:sz w:val="24"/>
          <w:szCs w:val="24"/>
          <w:lang w:val="ru-RU"/>
        </w:rPr>
        <w:t>,</w:t>
      </w:r>
      <w:r w:rsidR="00134125" w:rsidRPr="00134125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доктор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юридических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наук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профессор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заведующий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кафедрой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теории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государства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и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права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и </w:t>
      </w:r>
      <w:proofErr w:type="spellStart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политологии</w:t>
      </w:r>
      <w:proofErr w:type="spellEnd"/>
      <w:r w:rsidR="00134125" w:rsidRPr="00025DA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юридического факультета МГУ </w:t>
      </w:r>
      <w:r w:rsidR="00134125" w:rsidRPr="00025DA7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1</w:t>
      </w:r>
      <w:r w:rsidR="00134125" w:rsidRPr="00134125">
        <w:rPr>
          <w:rFonts w:ascii="Newton-Italic" w:eastAsia="Newton-Italic" w:cs="Newton-Italic"/>
          <w:i/>
          <w:iCs/>
          <w:color w:val="FFFFFF"/>
          <w:sz w:val="11"/>
          <w:szCs w:val="11"/>
          <w:lang w:val="ru-RU"/>
        </w:rPr>
        <w:t>8</w:t>
      </w:r>
    </w:p>
    <w:p w14:paraId="68CCCFA2" w14:textId="77777777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4F3CF75F" w14:textId="3899AF76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К вопросу о понятии и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содержании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качества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юридического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образования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E7F0885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36060DB5" w14:textId="42A67E43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Статья посвящена рассмотрению проблем понятия и содержания качества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юридического образования.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мнению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автора система юридического образования России должна оптимально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сочетать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себе элементы научности,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академизма и прагматизма, новизны и консерватизма, национальных особенностей и интернационализма.</w:t>
      </w:r>
    </w:p>
    <w:p w14:paraId="39F1A8DE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1D482072" w14:textId="6292EF42" w:rsidR="00395AA1" w:rsidRPr="000B11F6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юридическое образование, понятие и содержание, особенности юридического образования России, сочетание академизма и прагматизма, новизны и консерватизма, национальных особенностей и интерна</w:t>
      </w:r>
      <w:r w:rsidRPr="000B11F6">
        <w:rPr>
          <w:rFonts w:ascii="Times New Roman" w:eastAsia="Newton-Regular" w:hAnsi="Times New Roman" w:cs="Times New Roman"/>
          <w:sz w:val="24"/>
          <w:szCs w:val="24"/>
          <w:lang w:val="ru-RU"/>
        </w:rPr>
        <w:t>ционализма.</w:t>
      </w:r>
    </w:p>
    <w:p w14:paraId="13A354E1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03725291" w14:textId="654C54F7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is devoted to the problems of the concept and content of the quality of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legal education. According to the author, the legal education system of Russia should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optimally combine the elements of scientific, academic and pragmatism, novelty and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conservatism, national characteristics and internationalism.</w:t>
      </w:r>
    </w:p>
    <w:p w14:paraId="77A8AE87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7AED2465" w14:textId="58C7A3E8" w:rsidR="00395AA1" w:rsidRPr="000B11F6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law education, concept and content, features of legal education in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Russia, combination of academic and pragmatism, novelty and conservatism, national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characteristics and internationalism.</w:t>
      </w:r>
    </w:p>
    <w:p w14:paraId="6E3A4719" w14:textId="77777777" w:rsidR="00134125" w:rsidRPr="000B11F6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sz w:val="24"/>
          <w:szCs w:val="24"/>
        </w:rPr>
      </w:pPr>
    </w:p>
    <w:p w14:paraId="70EADFBC" w14:textId="091B0FD0" w:rsidR="00134125" w:rsidRPr="000B11F6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BF0337">
        <w:rPr>
          <w:rFonts w:ascii="Times New Roman" w:eastAsia="Newton-Italic" w:hAnsi="Times New Roman" w:cs="Times New Roman"/>
          <w:sz w:val="24"/>
          <w:szCs w:val="24"/>
          <w:lang w:val="ru-RU"/>
        </w:rPr>
        <w:t>Трибуна</w:t>
      </w:r>
      <w:r w:rsidRPr="000B11F6">
        <w:rPr>
          <w:rFonts w:ascii="Times New Roman" w:eastAsia="Newton-Italic" w:hAnsi="Times New Roman" w:cs="Times New Roman"/>
          <w:sz w:val="24"/>
          <w:szCs w:val="24"/>
        </w:rPr>
        <w:t xml:space="preserve"> </w:t>
      </w:r>
      <w:r w:rsidRPr="00BF0337">
        <w:rPr>
          <w:rFonts w:ascii="Times New Roman" w:eastAsia="Newton-Italic" w:hAnsi="Times New Roman" w:cs="Times New Roman"/>
          <w:sz w:val="24"/>
          <w:szCs w:val="24"/>
          <w:lang w:val="ru-RU"/>
        </w:rPr>
        <w:t>молодых</w:t>
      </w:r>
      <w:r w:rsidRPr="000B11F6">
        <w:rPr>
          <w:rFonts w:ascii="Times New Roman" w:eastAsia="Newton-Italic" w:hAnsi="Times New Roman" w:cs="Times New Roman"/>
          <w:sz w:val="24"/>
          <w:szCs w:val="24"/>
        </w:rPr>
        <w:t xml:space="preserve"> </w:t>
      </w:r>
      <w:r w:rsidRPr="00BF0337">
        <w:rPr>
          <w:rFonts w:ascii="Times New Roman" w:eastAsia="Newton-Italic" w:hAnsi="Times New Roman" w:cs="Times New Roman"/>
          <w:sz w:val="24"/>
          <w:szCs w:val="24"/>
          <w:lang w:val="ru-RU"/>
        </w:rPr>
        <w:t>ученых</w:t>
      </w:r>
    </w:p>
    <w:p w14:paraId="737DF4B0" w14:textId="77777777" w:rsidR="00134125" w:rsidRPr="000B11F6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01F38211" w14:textId="0766E0F5" w:rsidR="00134125" w:rsidRPr="00134125" w:rsidRDefault="00BF0337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Newton-Italic" w:eastAsia="Newton-Italic" w:cs="Newton-Italic"/>
          <w:i/>
          <w:iCs/>
          <w:color w:val="000000"/>
          <w:sz w:val="19"/>
          <w:szCs w:val="19"/>
          <w:lang w:val="ru-RU"/>
        </w:rPr>
      </w:pPr>
      <w:proofErr w:type="gramStart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С.Д.</w:t>
      </w:r>
      <w:proofErr w:type="gramEnd"/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134125"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Афанасьев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аспирант кафедры конституционного и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муниципального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права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юридического факультета МГУ </w:t>
      </w:r>
      <w:r w:rsidR="00134125" w:rsidRPr="00BF0337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9</w:t>
      </w:r>
    </w:p>
    <w:p w14:paraId="03787B24" w14:textId="77777777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03B7C9B3" w14:textId="0D3D901A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Соглашения между государством и религиозными</w:t>
      </w:r>
      <w:r w:rsidR="00BF0337"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организациями в современной конституционной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практике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России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0C584FF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24C629E6" w14:textId="14A1246E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Российской Федерации начиная с 1990-х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гг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получила распространение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практика взаимодействия государства с конфессиями, выражающаяся в том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числе в заключении соглашений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органов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исполнительной власти с религиозными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организациями. В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же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время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законодательство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 свободе совести и религиозных объединениях не содержит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нормативных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основ заключения подобных соглашений, в связи с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чем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существенно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затрудняется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правовая квалификация их природы. В статье анализируется содержание государственно-конфессиональных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соглашений, определяется их место в системе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источников российского конституционного права и необходимость введения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lastRenderedPageBreak/>
        <w:t>законодательного регулирования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порядка заключения таких соглашений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как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гарантии и защиты конституционных принципов и основных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граждан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503B0C51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20139D99" w14:textId="77777777" w:rsidR="000B11F6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государственно-конфессиональные соглашения, религиозные организации, свобода вероисповедания, источники конституцион</w:t>
      </w:r>
      <w:r w:rsidRPr="000B11F6">
        <w:rPr>
          <w:rFonts w:ascii="Times New Roman" w:eastAsia="Newton-Regular" w:hAnsi="Times New Roman" w:cs="Times New Roman"/>
          <w:sz w:val="24"/>
          <w:szCs w:val="24"/>
          <w:lang w:val="ru-RU"/>
        </w:rPr>
        <w:t>ного права.</w:t>
      </w:r>
    </w:p>
    <w:p w14:paraId="0F18E8E8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6664AE0A" w14:textId="4E2E5F89" w:rsidR="00395AA1" w:rsidRPr="000B11F6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Since</w:t>
      </w:r>
      <w:r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the</w:t>
      </w:r>
      <w:r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1990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s</w:t>
      </w:r>
      <w:r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has</w:t>
      </w:r>
      <w:r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been</w:t>
      </w:r>
      <w:r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a</w:t>
      </w:r>
      <w:r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trend</w:t>
      </w:r>
      <w:r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of</w:t>
      </w:r>
      <w:r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active</w:t>
      </w:r>
      <w:r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interaction</w:t>
      </w:r>
      <w:r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between</w:t>
      </w:r>
      <w:r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the</w:t>
      </w:r>
      <w:r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state</w:t>
      </w:r>
      <w:r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and</w:t>
      </w:r>
      <w:r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confessions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in the Russian Federation, expressed, inter alia, in the practice of concluding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agreements (contracts) of Executive authorities and religious organizations. At the same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time, the legislation on freedom of conscience and on religious associations does not contain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normative bases for the conclusion of such agreements, in connection with which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the legal qualification of their nature is significantly complicated. The article analyzes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the content of state-confessional agreements, offers conclusions about their place in the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system of sources of Russian constitutional law and the need to introduce legislative regulation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of the procedure for concluding such agreements as guarantees and protection of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constitutional principles and subjective rights of citizens.</w:t>
      </w:r>
    </w:p>
    <w:p w14:paraId="68617B6C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0DCDFC7B" w14:textId="78278198" w:rsidR="00395AA1" w:rsidRPr="000B11F6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state-confessional agreements, religious organizations, freedom of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religion, sources of constitutional law.</w:t>
      </w:r>
    </w:p>
    <w:p w14:paraId="14166875" w14:textId="77777777" w:rsidR="00134125" w:rsidRPr="00BD1558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59B16CF8" w14:textId="3A40D404" w:rsidR="00134125" w:rsidRPr="00134125" w:rsidRDefault="00BF0337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Newton-Italic" w:eastAsia="Newton-Italic" w:cs="Newton-Italic"/>
          <w:i/>
          <w:iCs/>
          <w:sz w:val="19"/>
          <w:szCs w:val="19"/>
          <w:lang w:val="ru-RU"/>
        </w:rPr>
      </w:pPr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А.Р. </w:t>
      </w:r>
      <w:proofErr w:type="spellStart"/>
      <w:r w:rsidR="00134125"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Солтаханова</w:t>
      </w:r>
      <w:proofErr w:type="spellEnd"/>
      <w:r w:rsidR="00395AA1">
        <w:rPr>
          <w:rFonts w:ascii="Times New Roman" w:eastAsia="Newton-Regular" w:hAnsi="Times New Roman" w:cs="Times New Roman"/>
          <w:sz w:val="24"/>
          <w:szCs w:val="24"/>
          <w:lang w:val="ru-RU"/>
        </w:rPr>
        <w:t>,</w:t>
      </w:r>
      <w:r w:rsidR="00134125" w:rsidRPr="00134125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аспирантка кафедры гражданского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юридического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факультета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МГУ </w:t>
      </w:r>
      <w:r w:rsidR="00134125" w:rsidRPr="00BF0337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</w:p>
    <w:p w14:paraId="653F2C59" w14:textId="77777777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67B5A9AC" w14:textId="498FF456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Поэтажная собственность в германских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городах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Средние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века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раннее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Новое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время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04976FA0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4732DB69" w14:textId="7C9C1889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статье на основе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различных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источников описывается поэтажная собственность в германских городах в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Средние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века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раннее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Новое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время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На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XII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век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приходятся первые упоминания о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поэтажной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собственности в письменных источниках.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протяжении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долгого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времени поэтажная собственность развивалась как обычно-правовой институт.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временем появились положения, вводившие меры против данного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института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из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практических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соображений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6E3513D1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08FF585B" w14:textId="712D22C4" w:rsidR="00395AA1" w:rsidRPr="000B11F6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поэтажная собственность, германское право, много</w:t>
      </w:r>
      <w:r w:rsidRPr="000B11F6">
        <w:rPr>
          <w:rFonts w:ascii="Times New Roman" w:eastAsia="Newton-Regular" w:hAnsi="Times New Roman" w:cs="Times New Roman"/>
          <w:sz w:val="24"/>
          <w:szCs w:val="24"/>
          <w:lang w:val="ru-RU"/>
        </w:rPr>
        <w:t>квартирный дом, общее имущество.</w:t>
      </w:r>
    </w:p>
    <w:p w14:paraId="4DF9D590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0FAB92C9" w14:textId="4FC9ED39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The article </w:t>
      </w:r>
      <w:proofErr w:type="gram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on the basis of</w:t>
      </w:r>
      <w:proofErr w:type="gram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various sources describes apartment ownership in German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cities in the Middle Ages and early Modern times. For the first time apartment ownership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was mentioned in written sources in the XII century and it had developed over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centuries as a customary law institution. Over time, the provisions introduce measures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against this institution for practical reasons.</w:t>
      </w:r>
    </w:p>
    <w:p w14:paraId="29B0C7A3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329D5937" w14:textId="380332F3" w:rsidR="00395AA1" w:rsidRPr="000B11F6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apartment ownership, German law, multi-unit building, common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property.</w:t>
      </w:r>
    </w:p>
    <w:p w14:paraId="537EE358" w14:textId="77777777" w:rsidR="00BF0337" w:rsidRPr="000B11F6" w:rsidRDefault="00BF0337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06D88D5E" w14:textId="5F4E9B10" w:rsidR="00134125" w:rsidRPr="00BF0337" w:rsidRDefault="00BF0337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BF033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Н.М.</w:t>
      </w:r>
      <w:proofErr w:type="gramEnd"/>
      <w:r w:rsidRPr="00BF033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134125" w:rsidRPr="00BF033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Кириллова</w:t>
      </w:r>
      <w:r w:rsidR="00134125" w:rsidRPr="00134125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аспирантка кафедры уголовного права и криминологии юридического факультета МГУ </w:t>
      </w:r>
    </w:p>
    <w:p w14:paraId="50B79885" w14:textId="77777777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163DFD7D" w14:textId="14850850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lastRenderedPageBreak/>
        <w:t xml:space="preserve">Размещение материалов и предметов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порнографического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содержания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сети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«Интернет»: особенности уголовной ответственности</w:t>
      </w:r>
    </w:p>
    <w:p w14:paraId="6D8468B6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4E4CBE73" w14:textId="58E79722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статье содержится анализ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судебной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практики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по делам о преступлениях,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предусмотренных п. </w:t>
      </w:r>
      <w:r w:rsidR="000B11F6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«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</w:t>
      </w:r>
      <w:r w:rsidR="000B11F6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»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ч. 3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242 и п. </w:t>
      </w:r>
      <w:r w:rsidR="000B11F6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«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</w:t>
      </w:r>
      <w:r w:rsidR="000B11F6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»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ч. 2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242.1 УК РФ. Проводится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разграничение понятий </w:t>
      </w:r>
      <w:r w:rsidR="000B11F6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«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информационно-телекоммуникационные сети</w:t>
      </w:r>
      <w:r w:rsidR="000B11F6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»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r w:rsidR="000B11F6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«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сетевые издания</w:t>
      </w:r>
      <w:r w:rsidR="000B11F6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»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Отдельное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внимание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уделено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вопросу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установления наличия у лица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умысла на размещение и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распространения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предметов и материалов порнографического содержания посредством файлообменных (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пиринговых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)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сетей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0CA77909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07A18055" w14:textId="1A99FB8A" w:rsidR="00395AA1" w:rsidRPr="000B11F6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контент, Интернет, сетевое издание, компьютерные</w:t>
      </w:r>
      <w:r w:rsidR="000B11F6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сети, предметы и материалы порнографического содержания, файлообмен</w:t>
      </w:r>
      <w:r w:rsidRPr="000B11F6">
        <w:rPr>
          <w:rFonts w:ascii="Times New Roman" w:eastAsia="Newton-Regular" w:hAnsi="Times New Roman" w:cs="Times New Roman"/>
          <w:sz w:val="24"/>
          <w:szCs w:val="24"/>
          <w:lang w:val="ru-RU"/>
        </w:rPr>
        <w:t>ные сети.</w:t>
      </w:r>
    </w:p>
    <w:p w14:paraId="452C70D0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476E87F3" w14:textId="22537AEF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analyzes courts decisions on crimes under art. 242 paragraph 3(b) and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art. 242.1 paragraph 2(g) of the Russian Criminal Code. The author differentiates the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concepts of “telecommunication networks” and “online media”. Special attention is paid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to the issue of determination whether a person has intent on placement and distribution of</w:t>
      </w:r>
      <w:r w:rsidR="000B11F6" w:rsidRPr="000B11F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pornographic materials or objects by the means of file-sharing (peer-to-peer) networks.</w:t>
      </w:r>
    </w:p>
    <w:p w14:paraId="4A34F669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4E9C98D6" w14:textId="1BA6480C" w:rsidR="00395AA1" w:rsidRPr="000B11F6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content, Internet, online networks, pornographic objects and materials,</w:t>
      </w:r>
      <w:r w:rsidR="000B11F6" w:rsidRPr="000B11F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file-sharing networks.</w:t>
      </w:r>
    </w:p>
    <w:p w14:paraId="60376016" w14:textId="77777777" w:rsidR="00134125" w:rsidRPr="000B11F6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28A707D1" w14:textId="50942B51" w:rsidR="00134125" w:rsidRPr="00134125" w:rsidRDefault="00BF0337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Newton-Italic" w:eastAsia="Newton-Italic" w:cs="Newton-Italic"/>
          <w:i/>
          <w:iCs/>
          <w:sz w:val="19"/>
          <w:szCs w:val="19"/>
          <w:lang w:val="ru-RU"/>
        </w:rPr>
      </w:pPr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В.В. </w:t>
      </w:r>
      <w:r w:rsidR="00134125"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Есина</w:t>
      </w:r>
      <w:r w:rsidR="00395AA1">
        <w:rPr>
          <w:rFonts w:ascii="Times New Roman" w:eastAsia="Newton-Regular" w:hAnsi="Times New Roman" w:cs="Times New Roman"/>
          <w:sz w:val="24"/>
          <w:szCs w:val="24"/>
          <w:lang w:val="ru-RU"/>
        </w:rPr>
        <w:t>,</w:t>
      </w:r>
      <w:r w:rsidR="00134125" w:rsidRPr="00134125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аспирантка кафедры уголовного права и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криминологии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юридического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факультета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МГУ </w:t>
      </w:r>
    </w:p>
    <w:p w14:paraId="642D1F2D" w14:textId="77777777" w:rsidR="00134125" w:rsidRPr="00025DA7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6B64B8FC" w14:textId="6C650E5D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Особенности ответственности несовершеннолетних: проблемы применения положений гл. 14 УК РФ к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лицам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возрасте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от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18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до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20 </w:t>
      </w:r>
      <w:proofErr w:type="spellStart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лет</w:t>
      </w:r>
      <w:proofErr w:type="spellEnd"/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85A7EE5" w14:textId="77777777" w:rsidR="000B11F6" w:rsidRDefault="000B11F6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650A3245" w14:textId="47518CB9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статье анализируются проблемы применения к лицам 18–20-летнего</w:t>
      </w:r>
      <w:r w:rsidR="000B11F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возраста положений гл. 14 УК РФ об особенностях уголовной ответственности</w:t>
      </w:r>
      <w:r w:rsidR="00DE243F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и наказания несовершеннолетних.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Автор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делает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выводы на основе обобщения</w:t>
      </w:r>
      <w:r w:rsidR="00DE243F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материалов судебной практики по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рассматриваемым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проблемам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2468C366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1C74BE51" w14:textId="180E7667" w:rsidR="00395AA1" w:rsidRPr="00DE243F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уголовное право, исключительный случай, уголовная</w:t>
      </w:r>
      <w:r w:rsidR="00DE243F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ответственность, лица в возрасте </w:t>
      </w:r>
      <w:proofErr w:type="spellStart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от</w:t>
      </w:r>
      <w:proofErr w:type="spellEnd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18 </w:t>
      </w:r>
      <w:proofErr w:type="spellStart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до</w:t>
      </w:r>
      <w:proofErr w:type="spellEnd"/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20 лет, смягчающие уголовную от</w:t>
      </w:r>
      <w:r w:rsidRPr="00DE243F">
        <w:rPr>
          <w:rFonts w:ascii="Times New Roman" w:eastAsia="Newton-Regular" w:hAnsi="Times New Roman" w:cs="Times New Roman"/>
          <w:sz w:val="24"/>
          <w:szCs w:val="24"/>
          <w:lang w:val="ru-RU"/>
        </w:rPr>
        <w:t>ветственность обстоятельства.</w:t>
      </w:r>
    </w:p>
    <w:p w14:paraId="3D5C124F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7E90F809" w14:textId="54CEE729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analyzes the problems of applying to persons aged 18–20 years the</w:t>
      </w:r>
      <w:r w:rsidR="00DE243F" w:rsidRPr="00DE243F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provisions of Chapter 14 of the Criminal Code of the Russian Federation on the specifics</w:t>
      </w:r>
      <w:r w:rsidR="00DE243F" w:rsidRPr="00DE243F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of criminal liability and punishment of minors. The author concludes </w:t>
      </w:r>
      <w:proofErr w:type="gram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on the basis of</w:t>
      </w:r>
      <w:proofErr w:type="gram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a</w:t>
      </w:r>
      <w:r w:rsidR="00DE243F" w:rsidRPr="00DE243F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generalization of judicial practice materials on the problems under consideration.</w:t>
      </w:r>
    </w:p>
    <w:p w14:paraId="74205330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7BE4F25A" w14:textId="67BCE515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criminal law, exceptional case, criminal liability, persons aged 18 to</w:t>
      </w:r>
      <w:r w:rsidR="00DE243F" w:rsidRPr="00DE243F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20 years, circumstances mitigating criminal liability.</w:t>
      </w:r>
    </w:p>
    <w:p w14:paraId="5C35D596" w14:textId="77777777" w:rsidR="00134125" w:rsidRPr="00BD1558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45DAE4D1" w14:textId="659FB071" w:rsidR="00134125" w:rsidRPr="00134125" w:rsidRDefault="00BF0337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Newton-Italic" w:eastAsia="Newton-Italic" w:cs="Newton-Italic"/>
          <w:i/>
          <w:iCs/>
          <w:sz w:val="19"/>
          <w:szCs w:val="19"/>
          <w:lang w:val="ru-RU"/>
        </w:rPr>
      </w:pPr>
      <w:r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И.К.</w:t>
      </w:r>
      <w:r w:rsidR="00025DA7"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134125" w:rsidRPr="00395AA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Мосякина</w:t>
      </w:r>
      <w:r w:rsidR="00395AA1">
        <w:rPr>
          <w:rFonts w:ascii="Times New Roman" w:eastAsia="Newton-Regular" w:hAnsi="Times New Roman" w:cs="Times New Roman"/>
          <w:sz w:val="24"/>
          <w:szCs w:val="24"/>
          <w:lang w:val="ru-RU"/>
        </w:rPr>
        <w:t>,</w:t>
      </w:r>
      <w:r w:rsidR="00134125" w:rsidRPr="00134125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аспирантка кафедры уголовного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криминологии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юридического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факультета</w:t>
      </w:r>
      <w:proofErr w:type="spellEnd"/>
      <w:r w:rsidR="00134125"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МГУ </w:t>
      </w:r>
    </w:p>
    <w:p w14:paraId="79E6C0C9" w14:textId="77777777" w:rsidR="00134125" w:rsidRPr="00025DA7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7B39A957" w14:textId="42A12C37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025DA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О недостатках конструкции статьи 172.2 Уголовного кодекса Российской Федерации </w:t>
      </w:r>
    </w:p>
    <w:p w14:paraId="16B2B488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70C187A9" w14:textId="0BE15BB2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статье рассматриваются проблемы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практического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применения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172.2</w:t>
      </w:r>
      <w:r w:rsidR="00DE243F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Уголовного кодекса РФ.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Акцент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сделан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рассмотрении особенностей ее конструирования, влекущих квалификацию деяний, связанных с организацией деятельности по привлечению денежных 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средств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(</w:t>
      </w:r>
      <w:proofErr w:type="spellStart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или</w:t>
      </w:r>
      <w:proofErr w:type="spellEnd"/>
      <w:r w:rsidRPr="00BD1558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) иного имущества, как мошенничества по ст. 159 УК РФ.</w:t>
      </w:r>
    </w:p>
    <w:p w14:paraId="6C1E0E76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49816B05" w14:textId="0538A217" w:rsidR="00395AA1" w:rsidRPr="00DE243F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BD1558">
        <w:rPr>
          <w:rFonts w:ascii="Times New Roman" w:eastAsia="Newton-Regular" w:hAnsi="Times New Roman" w:cs="Times New Roman"/>
          <w:sz w:val="24"/>
          <w:szCs w:val="24"/>
          <w:lang w:val="ru-RU"/>
        </w:rPr>
        <w:t>организация деятельности по привлечению денежных</w:t>
      </w:r>
      <w:r w:rsidR="00DE243F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DE243F">
        <w:rPr>
          <w:rFonts w:ascii="Times New Roman" w:eastAsia="Newton-Regular" w:hAnsi="Times New Roman" w:cs="Times New Roman"/>
          <w:sz w:val="24"/>
          <w:szCs w:val="24"/>
          <w:lang w:val="ru-RU"/>
        </w:rPr>
        <w:t>средств, финансовая пирамида, мошенничество.</w:t>
      </w:r>
    </w:p>
    <w:p w14:paraId="1E1D6E98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48DD3C22" w14:textId="0E021580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deals with the problems of practical application of Article 172.2 of the</w:t>
      </w:r>
      <w:r w:rsidR="00DE243F" w:rsidRPr="00DE243F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Criminal code of the Russian Federation. The emphasis is focused on the consideration of</w:t>
      </w:r>
      <w:r w:rsidR="00DE243F" w:rsidRPr="00DE243F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the features of its construction, entailing the qualification of acts related to criminal fundraising</w:t>
      </w:r>
      <w:r w:rsidR="00DE243F" w:rsidRPr="00DE243F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D1558">
        <w:rPr>
          <w:rFonts w:ascii="Times New Roman" w:eastAsia="Newton-Italic" w:hAnsi="Times New Roman" w:cs="Times New Roman"/>
          <w:i/>
          <w:iCs/>
          <w:sz w:val="24"/>
          <w:szCs w:val="24"/>
        </w:rPr>
        <w:t>schemes as fraud under Article 159 of the Criminal code of the Russian Federation.</w:t>
      </w:r>
    </w:p>
    <w:p w14:paraId="67478BDC" w14:textId="77777777" w:rsidR="00DE243F" w:rsidRDefault="00DE243F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3C2A0E6D" w14:textId="00FF9018" w:rsidR="00395AA1" w:rsidRPr="00BD1558" w:rsidRDefault="00395AA1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D1558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BD1558">
        <w:rPr>
          <w:rFonts w:ascii="Times New Roman" w:eastAsia="Newton-Regular" w:hAnsi="Times New Roman" w:cs="Times New Roman"/>
          <w:sz w:val="24"/>
          <w:szCs w:val="24"/>
        </w:rPr>
        <w:t>criminal fundraising schemes, financial pyramid, fraud.</w:t>
      </w:r>
    </w:p>
    <w:p w14:paraId="3641D1CD" w14:textId="77777777" w:rsidR="00134125" w:rsidRPr="00BD1558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48432EC8" w14:textId="77777777" w:rsidR="000C368D" w:rsidRPr="00976620" w:rsidRDefault="000C368D" w:rsidP="00DE2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6620">
        <w:rPr>
          <w:rFonts w:ascii="Times New Roman" w:hAnsi="Times New Roman" w:cs="Times New Roman"/>
          <w:sz w:val="24"/>
          <w:szCs w:val="24"/>
          <w:lang w:val="ru-RU"/>
        </w:rPr>
        <w:t>Научная жизнь</w:t>
      </w:r>
    </w:p>
    <w:p w14:paraId="54669A07" w14:textId="77777777" w:rsidR="000C368D" w:rsidRPr="000C368D" w:rsidRDefault="000C368D" w:rsidP="00DE24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0ED32DB" w14:textId="0F592A51" w:rsidR="000C368D" w:rsidRPr="000C368D" w:rsidRDefault="000C368D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0C368D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Е.А.</w:t>
      </w:r>
      <w:proofErr w:type="gramEnd"/>
      <w:r w:rsidRPr="000C368D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Суханов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>,</w:t>
      </w:r>
      <w:r w:rsidRPr="000C368D">
        <w:rPr>
          <w:rFonts w:ascii="Newton-Italic" w:eastAsia="Newton-Italic" w:cs="Newton-Italic" w:hint="eastAsia"/>
          <w:i/>
          <w:iCs/>
          <w:sz w:val="20"/>
          <w:szCs w:val="20"/>
          <w:lang w:val="ru-RU"/>
        </w:rPr>
        <w:t xml:space="preserve"> </w:t>
      </w:r>
      <w:r w:rsidRPr="000C368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профессор, доктор юридических наук,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0C368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заведующий кафедрой гражданского права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0C368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юридического факультета МГУ</w:t>
      </w:r>
      <w:r w:rsidRPr="000C368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</w:p>
    <w:p w14:paraId="1D67F2AA" w14:textId="77777777" w:rsidR="000C368D" w:rsidRDefault="000C368D" w:rsidP="00DE243F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6B394600" w14:textId="5F8571B4" w:rsidR="000C368D" w:rsidRPr="007102D2" w:rsidRDefault="000C368D" w:rsidP="00DE2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68D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Формирование и система частного и гражданского права</w:t>
      </w:r>
      <w:r w:rsidRPr="00134125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(</w:t>
      </w:r>
      <w:r w:rsidRPr="001341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материалы конференции</w:t>
      </w:r>
      <w:r w:rsidRPr="00134125">
        <w:rPr>
          <w:rFonts w:ascii="Times New Roman" w:eastAsia="Newton-Regular" w:hAnsi="Times New Roman" w:cs="Times New Roman"/>
          <w:sz w:val="24"/>
          <w:szCs w:val="24"/>
          <w:lang w:val="ru-RU"/>
        </w:rPr>
        <w:t>)</w:t>
      </w:r>
    </w:p>
    <w:p w14:paraId="0F3F6D9B" w14:textId="77777777" w:rsidR="000C368D" w:rsidRPr="00BF0337" w:rsidRDefault="000C368D" w:rsidP="00DE24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5C93AD" w14:textId="16779426" w:rsidR="000C368D" w:rsidRDefault="00BF0337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BF033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А.В. Клочкова, </w:t>
      </w:r>
      <w:r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кандидат </w:t>
      </w:r>
      <w:proofErr w:type="spellStart"/>
      <w:r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социологических</w:t>
      </w:r>
      <w:proofErr w:type="spellEnd"/>
      <w:r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наук</w:t>
      </w:r>
      <w:proofErr w:type="spellEnd"/>
      <w:r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заведующая</w:t>
      </w:r>
      <w:proofErr w:type="spellEnd"/>
      <w:r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лабораторией</w:t>
      </w:r>
      <w:proofErr w:type="spellEnd"/>
      <w:r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социально</w:t>
      </w:r>
      <w:proofErr w:type="spellEnd"/>
      <w:r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-</w:t>
      </w:r>
      <w:proofErr w:type="spellStart"/>
      <w:r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правовых</w:t>
      </w:r>
      <w:proofErr w:type="spellEnd"/>
      <w:r w:rsidRPr="00BF0337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исследований и сравнительного правоведения юридического факультета МГУ</w:t>
      </w:r>
    </w:p>
    <w:p w14:paraId="047B3C3E" w14:textId="06C2D71E" w:rsidR="00BF0337" w:rsidRDefault="00BF0337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7BC33D09" w14:textId="4C947246" w:rsidR="00BF0337" w:rsidRPr="00BF0337" w:rsidRDefault="00BF0337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Newton-Italic" w:eastAsia="Newton-Italic" w:cs="Newton-Italic"/>
          <w:i/>
          <w:iCs/>
          <w:sz w:val="19"/>
          <w:szCs w:val="19"/>
          <w:lang w:val="ru-RU"/>
        </w:rPr>
      </w:pPr>
      <w:r w:rsidRPr="00BF0337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Насилие и жестокость в общественном пространстве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134125">
        <w:rPr>
          <w:rFonts w:ascii="Times New Roman" w:eastAsia="Newton-Regular" w:hAnsi="Times New Roman" w:cs="Times New Roman"/>
          <w:sz w:val="24"/>
          <w:szCs w:val="24"/>
          <w:lang w:val="ru-RU"/>
        </w:rPr>
        <w:t>(</w:t>
      </w:r>
      <w:r w:rsidRPr="001341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заседание рабочей группы </w:t>
      </w:r>
      <w:r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«</w:t>
      </w:r>
      <w:r w:rsidRPr="001341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Гражданское общество</w:t>
      </w:r>
      <w:r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»</w:t>
      </w:r>
      <w:r w:rsidRPr="001341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форума </w:t>
      </w:r>
      <w:r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«</w:t>
      </w:r>
      <w:r w:rsidRPr="0013412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Петербургский диалог</w:t>
      </w:r>
      <w:r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»</w:t>
      </w:r>
      <w:r w:rsidRPr="00134125">
        <w:rPr>
          <w:rFonts w:ascii="Times New Roman" w:eastAsia="Newton-Regular" w:hAnsi="Times New Roman" w:cs="Times New Roman"/>
          <w:sz w:val="24"/>
          <w:szCs w:val="24"/>
          <w:lang w:val="ru-RU"/>
        </w:rPr>
        <w:t>)</w:t>
      </w:r>
    </w:p>
    <w:p w14:paraId="6D9A0872" w14:textId="77777777" w:rsidR="000C368D" w:rsidRDefault="000C368D" w:rsidP="00DE2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225CE6" w14:textId="2DFF1265" w:rsidR="00134125" w:rsidRPr="00BF0337" w:rsidRDefault="000C368D" w:rsidP="00DE2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F2">
        <w:rPr>
          <w:rFonts w:ascii="Times New Roman" w:hAnsi="Times New Roman" w:cs="Times New Roman"/>
          <w:b/>
          <w:sz w:val="24"/>
          <w:szCs w:val="24"/>
          <w:lang w:val="ru-RU"/>
        </w:rPr>
        <w:t>Указатель статей и материалов,</w:t>
      </w:r>
      <w:r w:rsidRPr="00976620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опубликованных в журнале</w:t>
      </w:r>
      <w:r w:rsidR="00BF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6620">
        <w:rPr>
          <w:rFonts w:ascii="Times New Roman" w:hAnsi="Times New Roman" w:cs="Times New Roman"/>
          <w:sz w:val="24"/>
          <w:szCs w:val="24"/>
          <w:lang w:val="ru-RU"/>
        </w:rPr>
        <w:t>«Вестник Московского университета. Серия 11. Право» за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7662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5668F1" w14:textId="77777777" w:rsidR="00134125" w:rsidRDefault="00134125" w:rsidP="00DE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17D5ED77" w14:textId="4109ECB8" w:rsidR="00134125" w:rsidRPr="00134125" w:rsidRDefault="00134125" w:rsidP="0013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075D85F4" w14:textId="77777777" w:rsidR="00134125" w:rsidRDefault="00134125" w:rsidP="0013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3F7F72E7" w14:textId="65082E68" w:rsidR="00134125" w:rsidRPr="00134125" w:rsidRDefault="00134125" w:rsidP="0013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5CEC57B4" w14:textId="77777777" w:rsidR="00134125" w:rsidRDefault="00134125" w:rsidP="0013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4553E9EA" w14:textId="0175E28E" w:rsidR="00134125" w:rsidRPr="00134125" w:rsidRDefault="00134125" w:rsidP="0013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3F903DBD" w14:textId="77777777" w:rsidR="00134125" w:rsidRDefault="00134125" w:rsidP="0013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62FC8377" w14:textId="01D65495" w:rsidR="00134125" w:rsidRPr="00134125" w:rsidRDefault="00134125" w:rsidP="0013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bookmarkEnd w:id="0"/>
    <w:p w14:paraId="7F784F10" w14:textId="77777777" w:rsidR="00134125" w:rsidRDefault="00134125" w:rsidP="0013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sectPr w:rsidR="00134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ton-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Regular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Bold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012EC"/>
    <w:rsid w:val="00011986"/>
    <w:rsid w:val="00020C44"/>
    <w:rsid w:val="00025DA7"/>
    <w:rsid w:val="00026E75"/>
    <w:rsid w:val="00040FAA"/>
    <w:rsid w:val="00041D9B"/>
    <w:rsid w:val="0004656D"/>
    <w:rsid w:val="000468D5"/>
    <w:rsid w:val="000575A3"/>
    <w:rsid w:val="00060BC5"/>
    <w:rsid w:val="00094A79"/>
    <w:rsid w:val="000B11F6"/>
    <w:rsid w:val="000B3344"/>
    <w:rsid w:val="000C368D"/>
    <w:rsid w:val="000D7D1A"/>
    <w:rsid w:val="00117044"/>
    <w:rsid w:val="00121AAA"/>
    <w:rsid w:val="00132FA1"/>
    <w:rsid w:val="00134125"/>
    <w:rsid w:val="001450AB"/>
    <w:rsid w:val="001628F7"/>
    <w:rsid w:val="00163605"/>
    <w:rsid w:val="00186181"/>
    <w:rsid w:val="001B351B"/>
    <w:rsid w:val="001C58F5"/>
    <w:rsid w:val="00200B4E"/>
    <w:rsid w:val="00204124"/>
    <w:rsid w:val="0021354D"/>
    <w:rsid w:val="0024680C"/>
    <w:rsid w:val="002554BF"/>
    <w:rsid w:val="002578E0"/>
    <w:rsid w:val="00276CA3"/>
    <w:rsid w:val="002917C7"/>
    <w:rsid w:val="002958C3"/>
    <w:rsid w:val="002972C0"/>
    <w:rsid w:val="002A43EF"/>
    <w:rsid w:val="002C56F1"/>
    <w:rsid w:val="002D15A8"/>
    <w:rsid w:val="002D4A7C"/>
    <w:rsid w:val="002F1B6B"/>
    <w:rsid w:val="0031535D"/>
    <w:rsid w:val="00334CF7"/>
    <w:rsid w:val="0035538D"/>
    <w:rsid w:val="00366500"/>
    <w:rsid w:val="00366892"/>
    <w:rsid w:val="00366C5D"/>
    <w:rsid w:val="00395AA1"/>
    <w:rsid w:val="003C1349"/>
    <w:rsid w:val="003C1B4C"/>
    <w:rsid w:val="003C485A"/>
    <w:rsid w:val="003D349C"/>
    <w:rsid w:val="003E028C"/>
    <w:rsid w:val="00410E59"/>
    <w:rsid w:val="00412688"/>
    <w:rsid w:val="0041777B"/>
    <w:rsid w:val="00480682"/>
    <w:rsid w:val="00485066"/>
    <w:rsid w:val="004A3297"/>
    <w:rsid w:val="004E0064"/>
    <w:rsid w:val="004E63EA"/>
    <w:rsid w:val="00523270"/>
    <w:rsid w:val="0052501C"/>
    <w:rsid w:val="005379FA"/>
    <w:rsid w:val="00542501"/>
    <w:rsid w:val="00551DFF"/>
    <w:rsid w:val="005734A5"/>
    <w:rsid w:val="0057765B"/>
    <w:rsid w:val="00587AC5"/>
    <w:rsid w:val="005B2726"/>
    <w:rsid w:val="005D07A8"/>
    <w:rsid w:val="005E23C8"/>
    <w:rsid w:val="00602221"/>
    <w:rsid w:val="0060720B"/>
    <w:rsid w:val="0062793D"/>
    <w:rsid w:val="00654853"/>
    <w:rsid w:val="006666B4"/>
    <w:rsid w:val="006B0B3F"/>
    <w:rsid w:val="006B354F"/>
    <w:rsid w:val="00700213"/>
    <w:rsid w:val="00702F94"/>
    <w:rsid w:val="007072EB"/>
    <w:rsid w:val="007102D2"/>
    <w:rsid w:val="00711F8E"/>
    <w:rsid w:val="00792819"/>
    <w:rsid w:val="0079686C"/>
    <w:rsid w:val="007B3A7A"/>
    <w:rsid w:val="007C357E"/>
    <w:rsid w:val="007D17F2"/>
    <w:rsid w:val="007D21D4"/>
    <w:rsid w:val="007E660E"/>
    <w:rsid w:val="007F750C"/>
    <w:rsid w:val="00801C25"/>
    <w:rsid w:val="00815CFD"/>
    <w:rsid w:val="008225B5"/>
    <w:rsid w:val="00827557"/>
    <w:rsid w:val="00853D56"/>
    <w:rsid w:val="00885983"/>
    <w:rsid w:val="008A7E3E"/>
    <w:rsid w:val="008D620F"/>
    <w:rsid w:val="00904493"/>
    <w:rsid w:val="00906B38"/>
    <w:rsid w:val="009151F1"/>
    <w:rsid w:val="00932E66"/>
    <w:rsid w:val="00934FCF"/>
    <w:rsid w:val="00967529"/>
    <w:rsid w:val="00975A63"/>
    <w:rsid w:val="00976620"/>
    <w:rsid w:val="0097754B"/>
    <w:rsid w:val="00993E1C"/>
    <w:rsid w:val="009961D9"/>
    <w:rsid w:val="009A7B6B"/>
    <w:rsid w:val="009B5E0D"/>
    <w:rsid w:val="009E2CF3"/>
    <w:rsid w:val="00A15428"/>
    <w:rsid w:val="00A252D7"/>
    <w:rsid w:val="00AA12D9"/>
    <w:rsid w:val="00AA738C"/>
    <w:rsid w:val="00AA7723"/>
    <w:rsid w:val="00AD264E"/>
    <w:rsid w:val="00B138A6"/>
    <w:rsid w:val="00B33674"/>
    <w:rsid w:val="00B524F9"/>
    <w:rsid w:val="00B5284B"/>
    <w:rsid w:val="00B537D9"/>
    <w:rsid w:val="00B560CC"/>
    <w:rsid w:val="00B617CA"/>
    <w:rsid w:val="00B61BE9"/>
    <w:rsid w:val="00BB7690"/>
    <w:rsid w:val="00BC0727"/>
    <w:rsid w:val="00BD1558"/>
    <w:rsid w:val="00BF0337"/>
    <w:rsid w:val="00BF432B"/>
    <w:rsid w:val="00BF516C"/>
    <w:rsid w:val="00BF555A"/>
    <w:rsid w:val="00C22AE6"/>
    <w:rsid w:val="00C41462"/>
    <w:rsid w:val="00C520B7"/>
    <w:rsid w:val="00C77EE3"/>
    <w:rsid w:val="00C83DCB"/>
    <w:rsid w:val="00CA0B9E"/>
    <w:rsid w:val="00CB53A7"/>
    <w:rsid w:val="00CE5D22"/>
    <w:rsid w:val="00CF5C46"/>
    <w:rsid w:val="00D369A1"/>
    <w:rsid w:val="00DB141C"/>
    <w:rsid w:val="00DC3BFC"/>
    <w:rsid w:val="00DD4AFC"/>
    <w:rsid w:val="00DD59ED"/>
    <w:rsid w:val="00DE243F"/>
    <w:rsid w:val="00DE552A"/>
    <w:rsid w:val="00E04B00"/>
    <w:rsid w:val="00E0538C"/>
    <w:rsid w:val="00E062CF"/>
    <w:rsid w:val="00E21BE2"/>
    <w:rsid w:val="00E4785A"/>
    <w:rsid w:val="00E75850"/>
    <w:rsid w:val="00E817FC"/>
    <w:rsid w:val="00EA31FB"/>
    <w:rsid w:val="00EA7167"/>
    <w:rsid w:val="00EB62E4"/>
    <w:rsid w:val="00EC3860"/>
    <w:rsid w:val="00EE0745"/>
    <w:rsid w:val="00F03D72"/>
    <w:rsid w:val="00F05828"/>
    <w:rsid w:val="00F26231"/>
    <w:rsid w:val="00F4097D"/>
    <w:rsid w:val="00F40F87"/>
    <w:rsid w:val="00F43719"/>
    <w:rsid w:val="00F60067"/>
    <w:rsid w:val="00F66A22"/>
    <w:rsid w:val="00F72381"/>
    <w:rsid w:val="00FA2E1E"/>
    <w:rsid w:val="00FB4CA7"/>
    <w:rsid w:val="00FB7488"/>
    <w:rsid w:val="00FC141E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819C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F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3167</TotalTime>
  <Pages>7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46</cp:revision>
  <dcterms:created xsi:type="dcterms:W3CDTF">2017-04-21T09:27:00Z</dcterms:created>
  <dcterms:modified xsi:type="dcterms:W3CDTF">2020-02-20T23:05:00Z</dcterms:modified>
</cp:coreProperties>
</file>