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E433" w14:textId="756D7EBA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14:paraId="4F654913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14:paraId="7BB141DA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14:paraId="5A38543C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14:paraId="3E046E5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14:paraId="4B0AED8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83F84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</w:t>
      </w:r>
      <w:proofErr w:type="gramEnd"/>
      <w:r w:rsidRPr="00F4097D">
        <w:rPr>
          <w:rFonts w:ascii="Times New Roman" w:hAnsi="Times New Roman" w:cs="Times New Roman"/>
          <w:sz w:val="24"/>
          <w:szCs w:val="24"/>
          <w:lang w:val="ru-RU"/>
        </w:rPr>
        <w:t xml:space="preserve"> один раз в два месяца</w:t>
      </w:r>
    </w:p>
    <w:p w14:paraId="57B9B079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4062D" w14:textId="691090BA"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202AE1" w:rsidRPr="00202AE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</w:t>
      </w:r>
      <w:r w:rsidR="001F50D3" w:rsidRPr="00B8618C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</w:t>
      </w:r>
      <w:r w:rsidR="00202AE1">
        <w:rPr>
          <w:rFonts w:ascii="Times New Roman" w:hAnsi="Times New Roman" w:cs="Times New Roman"/>
          <w:b/>
          <w:sz w:val="24"/>
          <w:szCs w:val="24"/>
          <w:lang w:val="ru-RU"/>
        </w:rPr>
        <w:t>июль</w:t>
      </w:r>
      <w:r w:rsidR="0036650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202AE1">
        <w:rPr>
          <w:rFonts w:ascii="Times New Roman" w:hAnsi="Times New Roman" w:cs="Times New Roman"/>
          <w:b/>
          <w:sz w:val="24"/>
          <w:szCs w:val="24"/>
          <w:lang w:val="ru-RU"/>
        </w:rPr>
        <w:t>август</w:t>
      </w:r>
    </w:p>
    <w:p w14:paraId="76E70DAE" w14:textId="1904CF1D" w:rsidR="001F50D3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B4B303" w14:textId="77777777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История</w:t>
      </w:r>
      <w:proofErr w:type="spellEnd"/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государства</w:t>
      </w:r>
      <w:proofErr w:type="spellEnd"/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права</w:t>
      </w:r>
      <w:proofErr w:type="spellEnd"/>
    </w:p>
    <w:p w14:paraId="24134ED4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0C00368" w14:textId="54C2FAF8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П.Л.</w:t>
      </w:r>
      <w:proofErr w:type="gramEnd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Полянский,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доктор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юридических наук, профессор кафедры</w:t>
      </w:r>
      <w:r w:rsidR="00630E1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истории государства и права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юридического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факультета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МГУ</w:t>
      </w:r>
      <w:r w:rsidRPr="005B5D42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</w:t>
      </w:r>
    </w:p>
    <w:p w14:paraId="480DA7E3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FB41007" w14:textId="78727EBB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Обследование Рабкрином судебно-следственной системы в середине</w:t>
      </w:r>
      <w:r w:rsidR="00630E1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1920-х годов и его первые результаты</w:t>
      </w:r>
    </w:p>
    <w:p w14:paraId="2F8C4D37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2461965" w14:textId="621BD1C7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 посвящена обследованию, проводимому Рабкрином в отношении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суда, милиции, органов следствия и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прокуратуры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1923–1927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гг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Автор вводит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научный оборот новые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материалы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результатах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изучаемой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ревизии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Рассматриваются предложения Рабкрина по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разгрузке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народных судов от рассмотрения некоторых категорий дел и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реализация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этих предложений в законодательстве.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приходит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выводу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том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что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обследование и инициативы Рабкрина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оказали значительное влияние на регулирование вопросов подведомственности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судов, а также на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советское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уголовное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процессуальное законодательство периода нэпа.</w:t>
      </w:r>
    </w:p>
    <w:p w14:paraId="7115D063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9383B94" w14:textId="347B165D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Россия, РСФСР, </w:t>
      </w:r>
      <w:proofErr w:type="spellStart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нэп</w:t>
      </w:r>
      <w:proofErr w:type="spellEnd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Рабкрин</w:t>
      </w:r>
      <w:proofErr w:type="spellEnd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народные</w:t>
      </w:r>
      <w:proofErr w:type="spellEnd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суды</w:t>
      </w:r>
      <w:proofErr w:type="spellEnd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2ADDCEC8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1FDF68BB" w14:textId="242A5B03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The article is devoted to the survey carried out by the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Rabkrin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(Workers’ and Peasants’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Inspection) in relation to the courts, </w:t>
      </w:r>
      <w:proofErr w:type="gram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police</w:t>
      </w:r>
      <w:proofErr w:type="gram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and the public prosecutor’s office in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1923–1927. The author introduces new archive materials on the results of the revision.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We consider problems of relief of people’s courts from consideration of some cases and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legislation about it. The author concludes that the survey and the initiatives of the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Rabkrin</w:t>
      </w:r>
      <w:proofErr w:type="spellEnd"/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had a significant impact on the regulation of issues of jurisdiction of the courts, as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well as on the Soviet criminal and procedural legislation of the NEP period.</w:t>
      </w:r>
    </w:p>
    <w:p w14:paraId="70396041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3DDC9707" w14:textId="1A52A966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 xml:space="preserve">Russia, Russian SFSR, NEP, </w:t>
      </w:r>
      <w:proofErr w:type="spellStart"/>
      <w:r w:rsidRPr="005B5D42">
        <w:rPr>
          <w:rFonts w:ascii="Times New Roman" w:eastAsia="Newton-Regular" w:hAnsi="Times New Roman" w:cs="Times New Roman"/>
          <w:sz w:val="24"/>
          <w:szCs w:val="24"/>
        </w:rPr>
        <w:t>Rabkrin</w:t>
      </w:r>
      <w:proofErr w:type="spellEnd"/>
      <w:r w:rsidRPr="005B5D42">
        <w:rPr>
          <w:rFonts w:ascii="Times New Roman" w:eastAsia="Newton-Regular" w:hAnsi="Times New Roman" w:cs="Times New Roman"/>
          <w:sz w:val="24"/>
          <w:szCs w:val="24"/>
        </w:rPr>
        <w:t>, people’s courts.</w:t>
      </w:r>
    </w:p>
    <w:p w14:paraId="0CCC4AFB" w14:textId="77777777" w:rsidR="005B5D42" w:rsidRP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</w:rPr>
      </w:pPr>
    </w:p>
    <w:p w14:paraId="7500B931" w14:textId="616C7123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Проблемы конституционного</w:t>
      </w:r>
      <w:r w:rsidR="00630E1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и муниципального права</w:t>
      </w:r>
    </w:p>
    <w:p w14:paraId="079D82DB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628B3B" w14:textId="41CCB0DC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Д.Г.</w:t>
      </w:r>
      <w:proofErr w:type="gramEnd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Шустров</w:t>
      </w:r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кандидат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юридических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наук, доцент кафедры конституционного и муниципального права юридического факультета МГУ</w:t>
      </w:r>
      <w:r w:rsidRPr="005B5D42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63</w:t>
      </w:r>
      <w:r w:rsidRPr="005B5D42">
        <w:rPr>
          <w:rFonts w:ascii="Cambria Math" w:eastAsia="Newton-Regular" w:hAnsi="Cambria Math" w:cs="Cambria Math"/>
          <w:color w:val="FFFFFF"/>
          <w:sz w:val="24"/>
          <w:szCs w:val="24"/>
          <w:lang w:val="ru-RU"/>
        </w:rPr>
        <w:t>∗</w:t>
      </w:r>
    </w:p>
    <w:p w14:paraId="09D3F238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93CF689" w14:textId="5705CD1C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630E1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Конституционная идентичность</w:t>
      </w:r>
      <w:r w:rsidR="00630E1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0E1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и изменение Конституции</w:t>
      </w:r>
    </w:p>
    <w:p w14:paraId="51447E9E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5A7B89B2" w14:textId="43A50731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 xml:space="preserve">В статье раскрывается понятие конституционной идентичности, а таже анализируются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внутриправовая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внешнеправовая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функции доктрины конституционной идентичности на примере решений органов конституционного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контроля.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Конституционная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идентичность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— фундаментальное качество конституции, свидетельствующее о ее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самотождественности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она формализуется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конституционных положениях и/или принципах, характеризующих основное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содержание конституции и которые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могут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быть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изменены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рамках ее действия.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Доктрина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конституционной идентичности выполняет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внутриправовую</w:t>
      </w:r>
      <w:proofErr w:type="spellEnd"/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внешнеправовую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функции, каждая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которых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связана с обеспечением материальных пределов изменения конституции: первая защищает конституцию от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внесения неконституционных изменений; вторая защищает конституцию от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изменения на основании международного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47E25FE5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7D24732" w14:textId="6732288A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>Ключевые слова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: конституция, конституционная идентичность, Конституционный Суд, конституционный контроль, изменение конституции,</w:t>
      </w:r>
      <w:r w:rsidR="00630E1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630E10">
        <w:rPr>
          <w:rFonts w:ascii="Times New Roman" w:eastAsia="Newton-Regular" w:hAnsi="Times New Roman" w:cs="Times New Roman"/>
          <w:sz w:val="24"/>
          <w:szCs w:val="24"/>
          <w:lang w:val="ru-RU"/>
        </w:rPr>
        <w:t>международное право.</w:t>
      </w:r>
    </w:p>
    <w:p w14:paraId="6F77A34C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37A9BAE4" w14:textId="1DBF676B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reveals the concept of constitutional identity, as well as analyzes the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internal and external legal functions of the doctrine of constitutional identity. Constitutional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identity is a fundamental quality of the constitution, pointing to its self-identity, it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is formalized in a number of constitutional provisions and principles that characterize the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basic feature of the constitution and cannot be amend within the framework of its action.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doctrine of constitutional identity performs in the internal and external functions,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which are associated with ensuring the material limits of constitutional amendments: the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first protects the constitution from unconstitutional amendments; the second protects the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constitution from being changed by international law.</w:t>
      </w:r>
    </w:p>
    <w:p w14:paraId="05004655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42E957A6" w14:textId="56E5D2D2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>Keywords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: constitution, constitutional identity, Constitutional Court, constitutional</w:t>
      </w:r>
      <w:r w:rsidR="00630E10" w:rsidRPr="00630E1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review, constitutional change, international law.</w:t>
      </w:r>
    </w:p>
    <w:p w14:paraId="16896777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160CE69A" w14:textId="3BB9D386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Вопросы уголовного права</w:t>
      </w:r>
      <w:r w:rsidR="00630E1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и процесса</w:t>
      </w:r>
    </w:p>
    <w:p w14:paraId="79453975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1BB04350" w14:textId="7B8DB2C5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П.Н. Смоляков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кандидат юридических наук, доцент Байкальского государственного университета (г. Иркутск), докторант кафедры уголовного права и криминологии юридического факультета МГУ</w:t>
      </w:r>
    </w:p>
    <w:p w14:paraId="4A3DB215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7A4E5CB4" w14:textId="35F42B17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Концепция уголовной сферы в практике</w:t>
      </w:r>
      <w:r w:rsidR="00630E10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Европейского суда по правам человека</w:t>
      </w:r>
    </w:p>
    <w:p w14:paraId="072015FA" w14:textId="6EAC578B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</w:rPr>
        <w:t>российское</w:t>
      </w:r>
      <w:proofErr w:type="spellEnd"/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</w:rPr>
        <w:t>законотворчество</w:t>
      </w:r>
      <w:proofErr w:type="spellEnd"/>
    </w:p>
    <w:p w14:paraId="72E2C670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2BC02E6" w14:textId="10CC2D26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настоящей статье — в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свете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автономного толкования ЕСПЧ понятия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A5D25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≪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уголовная сфера</w:t>
      </w:r>
      <w:r w:rsidRPr="00DA5D25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≫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— рассматриваются последние законодательные инициативы в административно-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деликтной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сфере. Отмечается необходимость учета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такого толкования в новой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редакции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КоАП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РФ и принимаемом Процессуальном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кодексе об административных правонарушениях. Автор находит необходимым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доктринальное сближение указанных законов с действующим уголовным и уголовно-процессуальным законодательством.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Такой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вывод, в частности, делается им на основе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анализа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родственных уголовных и административно-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деликтных</w:t>
      </w:r>
      <w:proofErr w:type="spellEnd"/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санкций, практики их назначения.</w:t>
      </w:r>
    </w:p>
    <w:p w14:paraId="39766B63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64A76F52" w14:textId="70035AA1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ЕСПЧ, уголовная сфера, КоАП, административное пра</w:t>
      </w:r>
      <w:r w:rsidRPr="00630E10">
        <w:rPr>
          <w:rFonts w:ascii="Times New Roman" w:eastAsia="Newton-Regular" w:hAnsi="Times New Roman" w:cs="Times New Roman"/>
          <w:sz w:val="24"/>
          <w:szCs w:val="24"/>
          <w:lang w:val="ru-RU"/>
        </w:rPr>
        <w:t>вонарушение.</w:t>
      </w:r>
    </w:p>
    <w:p w14:paraId="70F3A90C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F824D19" w14:textId="4D9C9A66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examines — in the light of the ECHR’s autonomous interpretation of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concept of “criminal sphere” — the latest legislative proposals in the administrative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tort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sphere. The need to </w:t>
      </w:r>
      <w:proofErr w:type="gram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take into account</w:t>
      </w:r>
      <w:proofErr w:type="gram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this interpretation in the new edition of the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Code of Administrative Offenses of the Russian Federation and the newly adopted Procedural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Code of Administrative Offenses is noted. The author finds it necessary doctrinal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convergence of these laws with the current criminal and criminal procedure legislation.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This conclusion</w:t>
      </w:r>
      <w:proofErr w:type="gram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, in particular, is</w:t>
      </w:r>
      <w:proofErr w:type="gram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made by him on the basis of an analysis of related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criminal and administrative-tort sanctions, the practice of their appointment.</w:t>
      </w:r>
    </w:p>
    <w:p w14:paraId="483BDCF6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6EE57242" w14:textId="6C744F05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ECHR, criminal matter, Code of Administrative Offences, administrative</w:t>
      </w:r>
      <w:r w:rsidR="00630E10" w:rsidRPr="00630E1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offence.</w:t>
      </w:r>
    </w:p>
    <w:p w14:paraId="69949B9B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535869FC" w14:textId="3B98A23C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Проблемы криминалистики</w:t>
      </w:r>
    </w:p>
    <w:p w14:paraId="1578C101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0EF2682A" w14:textId="47A0803C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Е.С.</w:t>
      </w:r>
      <w:proofErr w:type="gramEnd"/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Крюкова,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ассистент кафедры криминалистики юридического факультета МГУ</w:t>
      </w:r>
    </w:p>
    <w:p w14:paraId="1F8723C1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4266C0BD" w14:textId="77777777" w:rsid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</w:t>
      </w:r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оотношение закономерности</w:t>
      </w:r>
      <w:r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и случайности в фокусе криминалистики</w:t>
      </w:r>
      <w:r w:rsidR="00630E10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5A44AF5" w14:textId="193C892A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630E10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val="ru-RU"/>
        </w:rPr>
        <w:t>(статья третья)</w:t>
      </w:r>
    </w:p>
    <w:p w14:paraId="4E6B1B60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1A3AC7F" w14:textId="783F12F6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рассматриваются диалектические категории закономерности и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случайности в аспекте криминалистической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науки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их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значение в раскрытии и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расследовании преступлений.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Особое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внимание уделяется исследованию криминалистики в структуре юридических наук, общественных (гуманитарных) наук,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связанных с деятельностью общества и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человека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Исследуется вопрос включения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случайностей в определение и предмет криминалистической науки, приводятся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позиции отечественных и зарубежных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ученых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69AE8096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66378097" w14:textId="395953DE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криминалистика, закономерность, случайность, предмет науки, юриспруденция, гуманитарная наука, парадокс, событие, </w:t>
      </w:r>
      <w:proofErr w:type="spellStart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стоха</w:t>
      </w:r>
      <w:r w:rsidRPr="00630E10">
        <w:rPr>
          <w:rFonts w:ascii="Times New Roman" w:eastAsia="Newton-Regular" w:hAnsi="Times New Roman" w:cs="Times New Roman"/>
          <w:sz w:val="24"/>
          <w:szCs w:val="24"/>
          <w:lang w:val="ru-RU"/>
        </w:rPr>
        <w:t>стика</w:t>
      </w:r>
      <w:proofErr w:type="spellEnd"/>
      <w:r w:rsidRPr="00630E10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0802C35A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687BAB9" w14:textId="62FAD1F0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discusses the dialectic categories of patterns and randomness in the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aspect of forensic science, their significance in the disclosure and investigation of crimes.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Particular attention is paid to the study of forensic science in the structure of legal sciences,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social sciences (humanities) related to the activities of society and man. The question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of the inclusion of randomness in the definition and subject of forensic science is studied,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positions of Russian and foreign scientists are given.</w:t>
      </w:r>
    </w:p>
    <w:p w14:paraId="26942346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25C63606" w14:textId="114F3313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criminalistics, patterns (laws), randomness, subject of science, jurisprudence,</w:t>
      </w:r>
      <w:r w:rsidR="00630E10" w:rsidRPr="00630E1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humanities, paradox, event, stochastics.</w:t>
      </w:r>
    </w:p>
    <w:p w14:paraId="29A0386B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1EAA254F" w14:textId="1C19ECDA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Теоретические проблемы права</w:t>
      </w:r>
    </w:p>
    <w:p w14:paraId="7DC0B083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6486F1D4" w14:textId="58EC813D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Н.Е.</w:t>
      </w:r>
      <w:proofErr w:type="gramEnd"/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Алёнкин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кандидат юридических наук, государственный советник</w:t>
      </w:r>
      <w:r w:rsid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юстиции Российской Федерации 3 класса</w:t>
      </w:r>
    </w:p>
    <w:p w14:paraId="5B1C5CCB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122F54C3" w14:textId="0D360339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 юридической силе нормативных актов</w:t>
      </w:r>
      <w:r w:rsid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Банка России</w:t>
      </w:r>
    </w:p>
    <w:p w14:paraId="06FB4E9F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8EB2BC6" w14:textId="577B07EE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рассматривается дискуссионный вопрос о месте нормативных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актов Банка России в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иерархии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нормативных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правовых актов Российской Федерации.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Критикуется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распространенная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точка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зрения, что нормативные акты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Банка России имеют более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высокую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юридическую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силу, чем федеральные законы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 указы Президента РФ. С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опорой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действующее законодательство и практику регистрации нормативных актов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Минюстом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России обосновывается, что по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юридической силе нормативные акты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Банка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России равны нормативным правовым актам федеральных органов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исполнительной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власти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1742F63E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535E9D34" w14:textId="48120949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Банк России, федеральный орган исполнительной власти, ведомственный нормативный правовой акт, юридическая сила, Минюст</w:t>
      </w:r>
      <w:r w:rsidR="00630E1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630E10">
        <w:rPr>
          <w:rFonts w:ascii="Times New Roman" w:eastAsia="Newton-Regular" w:hAnsi="Times New Roman" w:cs="Times New Roman"/>
          <w:sz w:val="24"/>
          <w:szCs w:val="24"/>
          <w:lang w:val="ru-RU"/>
        </w:rPr>
        <w:t>России.</w:t>
      </w:r>
    </w:p>
    <w:p w14:paraId="756D60F5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F6F8B6B" w14:textId="243630A8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deals with controversial issue of the rank of Bank of Russia regulatory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acts in the power structure of normative legal acts in the Russian Federation. A popular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concept, criticized in the article, states that these acts have more legal force than federal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laws and edicts of the President of the Russian Federation. The author provides various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arguments supported by current legislation and practice of registration of regulatory acts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by Ministry of Justice of Russia that regulatory acts of Bank of Russia are equal to normative</w:t>
      </w:r>
      <w:r w:rsidR="00630E10" w:rsidRPr="00630E1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legal acts of federal executive bodies in terms of the legal force.</w:t>
      </w:r>
    </w:p>
    <w:p w14:paraId="70DD94B0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5C08A888" w14:textId="583DCFF7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Bank of Russia, federal executive body, departmental normative legal</w:t>
      </w:r>
      <w:r w:rsidR="00630E10" w:rsidRPr="00630E1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act, legal force, Ministry of Justice of Russia.</w:t>
      </w:r>
    </w:p>
    <w:p w14:paraId="6D9E9E82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</w:rPr>
      </w:pPr>
    </w:p>
    <w:p w14:paraId="4FA96762" w14:textId="422859F8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Проблемы университетского</w:t>
      </w:r>
      <w:r w:rsid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образования</w:t>
      </w:r>
    </w:p>
    <w:p w14:paraId="55D7D0A8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BFDAFF" w14:textId="32E51800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Н.А.</w:t>
      </w:r>
      <w:proofErr w:type="gramEnd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Захаренко</w:t>
      </w:r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, кандидат социологических наук, старший научный</w:t>
      </w:r>
      <w:r w:rsidR="00630E1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сотрудник лаборатории социально-правовых исследований и сравнительного правоведения юридического факультета МГУ</w:t>
      </w:r>
      <w:r w:rsidRPr="005B5D42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28</w:t>
      </w:r>
      <w:r w:rsidRPr="005B5D42">
        <w:rPr>
          <w:rFonts w:ascii="Cambria Math" w:eastAsia="Newton-Regular" w:hAnsi="Cambria Math" w:cs="Cambria Math"/>
          <w:color w:val="FFFFFF"/>
          <w:sz w:val="24"/>
          <w:szCs w:val="24"/>
          <w:lang w:val="ru-RU"/>
        </w:rPr>
        <w:t>∗</w:t>
      </w:r>
    </w:p>
    <w:p w14:paraId="5A4191B7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2D738B" w14:textId="31A5B3B2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А.В. Клочкова</w:t>
      </w:r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кандидат социологических наук,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зав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. лабораторией социально-правовых исследований и сравнительного правоведения юридического факультета МГУ</w:t>
      </w:r>
      <w:r w:rsidRPr="005B5D42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29</w:t>
      </w:r>
    </w:p>
    <w:p w14:paraId="5C748C3D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0126D34" w14:textId="3B439819" w:rsidR="00202AE1" w:rsidRP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истанционное образование в высшей школе:</w:t>
      </w:r>
      <w:r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за и против</w:t>
      </w:r>
    </w:p>
    <w:p w14:paraId="4D59BB23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96B2F7E" w14:textId="2C8AD34A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 посвящена проблеме дистанционного образования, ставшей крайне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актуальной в период пандемии и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самоизоляции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Показаны как положительные,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так и отрицательные стороны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перехода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онлайн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-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обучение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На основе обзора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результатов проведенных эмпирических исследований по вопросам дистанционного образования, в том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числе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авторского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делается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вывод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том, что отказ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 традиционных форм обучения и переориентация на дистанционную модель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стратегическом плане негативно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отразится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на эффективности и качестве</w:t>
      </w:r>
      <w:r w:rsidR="00630E1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высшего образования.</w:t>
      </w:r>
    </w:p>
    <w:p w14:paraId="1F322AFC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351B8B3" w14:textId="7CAF9FBF" w:rsidR="00202AE1" w:rsidRPr="00630E10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дистанционное образование в вузе, цифровизация общества, образование в условиях самоизоляции, инклюзивное образование,</w:t>
      </w:r>
      <w:r w:rsidR="00630E1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особенности дистанционного обучения, социологические исследования, эм</w:t>
      </w:r>
      <w:r w:rsidRPr="00630E10">
        <w:rPr>
          <w:rFonts w:ascii="Times New Roman" w:eastAsia="Newton-Regular" w:hAnsi="Times New Roman" w:cs="Times New Roman"/>
          <w:sz w:val="24"/>
          <w:szCs w:val="24"/>
          <w:lang w:val="ru-RU"/>
        </w:rPr>
        <w:t>пирические данные.</w:t>
      </w:r>
    </w:p>
    <w:p w14:paraId="5ABF06D4" w14:textId="77777777" w:rsidR="005B5D42" w:rsidRPr="00630E10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E925FAC" w14:textId="0ADC0A02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The article is devoted to the problem of distance education, which became extremely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urgent during the pandemic and self-isolation. Both the positive and negative sides of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transition to online learning are shown. Based on a review of the results of empirical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studies on distance education, including copyright, it is concluded that the rejection of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traditional forms of education and reorientation to the distance model in the strategic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plan will negatively affect the effectiveness and quality of higher education.</w:t>
      </w:r>
    </w:p>
    <w:p w14:paraId="5D96A454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0B4D296F" w14:textId="61E71979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distance education at a university, digitalization of society, education</w:t>
      </w:r>
      <w:r w:rsidR="005B5D42" w:rsidRPr="005B5D4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in conditions of self-isolation, inclusive education, sociological studies, empirical</w:t>
      </w:r>
      <w:r w:rsidR="005B5D42" w:rsidRPr="005B5D4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data.</w:t>
      </w:r>
    </w:p>
    <w:p w14:paraId="4C0D3DCB" w14:textId="77777777" w:rsidR="005B5D42" w:rsidRP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</w:rPr>
      </w:pPr>
    </w:p>
    <w:p w14:paraId="2DE1C53F" w14:textId="772B1D3A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Трибуна молодых ученых</w:t>
      </w:r>
    </w:p>
    <w:p w14:paraId="676A2C6F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BBCE35" w14:textId="3A16456E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С.А.</w:t>
      </w:r>
      <w:proofErr w:type="gramEnd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Кондратьев</w:t>
      </w:r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, аспирант кафедры уголовного процесса, правосудия и</w:t>
      </w:r>
      <w:r w:rsid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прокурорского надзора юридического факультета МГУ</w:t>
      </w:r>
      <w:r w:rsidRPr="005B5D42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28</w:t>
      </w:r>
      <w:r w:rsidRPr="005B5D42">
        <w:rPr>
          <w:rFonts w:ascii="Cambria Math" w:eastAsia="Newton-Regular" w:hAnsi="Cambria Math" w:cs="Cambria Math"/>
          <w:color w:val="FFFFFF"/>
          <w:sz w:val="24"/>
          <w:szCs w:val="24"/>
          <w:lang w:val="ru-RU"/>
        </w:rPr>
        <w:t>∗</w:t>
      </w:r>
    </w:p>
    <w:p w14:paraId="10706628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AF0069" w14:textId="4BFFEBB2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Англо-американский институт отсрочки</w:t>
      </w:r>
      <w:r w:rsid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назначения наказания как альтернатива</w:t>
      </w:r>
    </w:p>
    <w:p w14:paraId="514B9E94" w14:textId="7B8A2831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традиционной</w:t>
      </w:r>
      <w:proofErr w:type="spellEnd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реакции</w:t>
      </w:r>
      <w:proofErr w:type="spellEnd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B5D42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преступление</w:t>
      </w:r>
      <w:proofErr w:type="spellEnd"/>
    </w:p>
    <w:p w14:paraId="370B04CB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97C47F0" w14:textId="2BAAFFBD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анализируется право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судьи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Англии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США отсрочить назначение наказания.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Основанный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давнем разделении разбирательства уголовного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дела по существу на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относительно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самостоятельные этапы разрешения вопроса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 виновности, с одной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стороны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и надлежащей индивидуализации уголовной ответственности — с другой, англо-американский уголовный процесс позволяет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судье при определенных обстоятельствах отложить назначение наказания, с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тем чтобы побудить осужденного к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активному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исправлению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Отражая потребность в гибкости уголовной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юстиции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данный институт представляет собой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реальную альтернативу уголовному наказанию.</w:t>
      </w:r>
    </w:p>
    <w:p w14:paraId="3A1593CA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E34DCED" w14:textId="5D619BD6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индивидуализация уголовной ответственности, принцип цезуры, отсрочка назначения </w:t>
      </w:r>
      <w:proofErr w:type="spellStart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наказания</w:t>
      </w:r>
      <w:proofErr w:type="spellEnd"/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12B1EE56" w14:textId="77777777" w:rsidR="005B5D42" w:rsidRPr="00DA5D25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33A3E50" w14:textId="64CF48BE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analyzes the right of a judge in England and the USA to defer sentence.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Based on long-standing division of the criminal proceedings on merits into trial and sentencing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stages,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anglo-american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criminal procedure empowers a judge in the certain cases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to defer sentence </w:t>
      </w:r>
      <w:proofErr w:type="gram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in order to</w:t>
      </w:r>
      <w:proofErr w:type="gram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induce a convicted person to correct his behaviour. Reflecting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need for flexibility in criminal justice, this institution represents a real alternative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to a criminal punishment.</w:t>
      </w:r>
    </w:p>
    <w:p w14:paraId="5B474A58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7D95A9DA" w14:textId="0446CAD0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individualization of criminal liability, principle of caesura, deferment</w:t>
      </w:r>
      <w:r w:rsidR="00DA5D25" w:rsidRPr="00DA5D25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of sentence.</w:t>
      </w:r>
    </w:p>
    <w:p w14:paraId="54726BC8" w14:textId="77777777" w:rsidR="005B5D42" w:rsidRPr="00DA5D25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AFD35" w14:textId="7D0A8910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Р.Б. </w:t>
      </w:r>
      <w:proofErr w:type="spellStart"/>
      <w:r w:rsidRPr="005B5D4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Дзейтова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аспирантка кафедры уголовного права и криминологии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 факультета МГУ</w:t>
      </w:r>
    </w:p>
    <w:p w14:paraId="249BAA6C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CA5FBEA" w14:textId="615CCAFE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5D4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Становление и соотношение понятий</w:t>
      </w:r>
      <w:r w:rsidR="00DA5D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5D42"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«войны», «агрессии» и «агрессивной войны»</w:t>
      </w:r>
    </w:p>
    <w:p w14:paraId="26BE1235" w14:textId="77777777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5D4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международном уголовном праве</w:t>
      </w:r>
    </w:p>
    <w:p w14:paraId="3FEF6026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35DA027" w14:textId="7981022B" w:rsidR="00202AE1" w:rsidRPr="00DA5D25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Война сопровождала человечество с момента его появления и вплоть до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XX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в.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существовало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правового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запрета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ведение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войн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Закрепление такого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запрета было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 xml:space="preserve">сопряжено с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трудностями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определении понятийного аппарата, в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частности понятий </w:t>
      </w:r>
      <w:r w:rsidRPr="005B5D42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≪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война</w:t>
      </w:r>
      <w:r w:rsidRPr="005B5D42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≫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5B5D42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≪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агрессия</w:t>
      </w:r>
      <w:r w:rsidRPr="005B5D42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≫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r w:rsidRPr="005B5D42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≪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агрессивная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война</w:t>
      </w:r>
      <w:proofErr w:type="spellEnd"/>
      <w:r w:rsidRPr="005B5D42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≫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В данной статье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исследуется процесс становления данных </w:t>
      </w:r>
      <w:proofErr w:type="spell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понятий</w:t>
      </w:r>
      <w:proofErr w:type="spell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выявление их соотношения</w:t>
      </w:r>
      <w:r w:rsid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 основе изучения международно-правовых документов и практики междуна</w:t>
      </w:r>
      <w:r w:rsidRPr="00DA5D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родных трибуналов.</w:t>
      </w:r>
    </w:p>
    <w:p w14:paraId="402DEC68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5C07F69" w14:textId="736E75EF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международное уголовное право, преступление против</w:t>
      </w:r>
      <w:r w:rsidR="00DA5D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  <w:lang w:val="ru-RU"/>
        </w:rPr>
        <w:t>мира, война, агрессия, агрессивная война, доктрина справедливой войны.</w:t>
      </w:r>
    </w:p>
    <w:p w14:paraId="34F5FC30" w14:textId="77777777" w:rsidR="00DA5D25" w:rsidRDefault="00DA5D25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2907BF82" w14:textId="6B97FABF" w:rsidR="00202AE1" w:rsidRPr="005B5D42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The war accompanied mankind from the moment of its appearance until the XX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century. there was no legal prohibition on warfare. Fixation of prohibition was associated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with difficulties in defining the conceptual framework, </w:t>
      </w:r>
      <w:proofErr w:type="gramStart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in particular the</w:t>
      </w:r>
      <w:proofErr w:type="gramEnd"/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concepts of “war”,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“aggression” and “aggressive war”. This article examines the process of formation of these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concepts and the identification of their relationship based on the study of international</w:t>
      </w:r>
      <w:r w:rsidR="00DA5D25" w:rsidRPr="00DA5D2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5D42">
        <w:rPr>
          <w:rFonts w:ascii="Times New Roman" w:eastAsia="Newton-Italic" w:hAnsi="Times New Roman" w:cs="Times New Roman"/>
          <w:i/>
          <w:iCs/>
          <w:sz w:val="24"/>
          <w:szCs w:val="24"/>
        </w:rPr>
        <w:t>legal documents and the practice of international tribunals.</w:t>
      </w:r>
    </w:p>
    <w:p w14:paraId="0D039B83" w14:textId="77777777" w:rsidR="005B5D42" w:rsidRDefault="005B5D42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7EC95336" w14:textId="59B90B80" w:rsidR="00202AE1" w:rsidRPr="00DA5D25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B5D42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international criminal law, crime against peace, war, aggression, aggressive</w:t>
      </w:r>
      <w:r w:rsidR="00DA5D25" w:rsidRPr="00DA5D25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B5D42">
        <w:rPr>
          <w:rFonts w:ascii="Times New Roman" w:eastAsia="Newton-Regular" w:hAnsi="Times New Roman" w:cs="Times New Roman"/>
          <w:sz w:val="24"/>
          <w:szCs w:val="24"/>
        </w:rPr>
        <w:t>war, just war doctrine.</w:t>
      </w:r>
    </w:p>
    <w:p w14:paraId="5403B932" w14:textId="77777777" w:rsidR="00202AE1" w:rsidRPr="00DA5D25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</w:rPr>
      </w:pPr>
    </w:p>
    <w:p w14:paraId="33A9150C" w14:textId="77777777" w:rsidR="00202AE1" w:rsidRPr="00DA5D25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</w:rPr>
      </w:pPr>
    </w:p>
    <w:p w14:paraId="0F19390E" w14:textId="105B2D07" w:rsidR="00DA5D25" w:rsidRPr="009C2036" w:rsidRDefault="00527666" w:rsidP="00DA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</w:p>
    <w:p w14:paraId="09134D4C" w14:textId="289004B1" w:rsidR="00527666" w:rsidRPr="009C203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11AD1048" w14:textId="77777777" w:rsidR="00B8618C" w:rsidRPr="009C203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303A95" w14:textId="39443614" w:rsidR="00F72381" w:rsidRPr="00DE2B12" w:rsidRDefault="00F7238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2381" w:rsidRPr="00DE2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201" w:usb1="09070000" w:usb2="00000010" w:usb3="00000000" w:csb0="000A0004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Bold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25DA7"/>
    <w:rsid w:val="00026E75"/>
    <w:rsid w:val="00040FAA"/>
    <w:rsid w:val="00041D9B"/>
    <w:rsid w:val="0004656D"/>
    <w:rsid w:val="000468D5"/>
    <w:rsid w:val="000575A3"/>
    <w:rsid w:val="00060BC5"/>
    <w:rsid w:val="00075C74"/>
    <w:rsid w:val="00094A79"/>
    <w:rsid w:val="000A5630"/>
    <w:rsid w:val="000B11F6"/>
    <w:rsid w:val="000B3344"/>
    <w:rsid w:val="000C368D"/>
    <w:rsid w:val="000D7D1A"/>
    <w:rsid w:val="00117044"/>
    <w:rsid w:val="00121AAA"/>
    <w:rsid w:val="00132FA1"/>
    <w:rsid w:val="00134125"/>
    <w:rsid w:val="001450AB"/>
    <w:rsid w:val="001628F7"/>
    <w:rsid w:val="00163605"/>
    <w:rsid w:val="00186181"/>
    <w:rsid w:val="001B351B"/>
    <w:rsid w:val="001C58F5"/>
    <w:rsid w:val="001F50D3"/>
    <w:rsid w:val="00200B4E"/>
    <w:rsid w:val="00202AE1"/>
    <w:rsid w:val="00204124"/>
    <w:rsid w:val="0021354D"/>
    <w:rsid w:val="0024680C"/>
    <w:rsid w:val="002554BF"/>
    <w:rsid w:val="002578E0"/>
    <w:rsid w:val="00276CA3"/>
    <w:rsid w:val="002917C7"/>
    <w:rsid w:val="002958C3"/>
    <w:rsid w:val="002972C0"/>
    <w:rsid w:val="002A43EF"/>
    <w:rsid w:val="002C56F1"/>
    <w:rsid w:val="002D15A8"/>
    <w:rsid w:val="002D4A7C"/>
    <w:rsid w:val="002E48E4"/>
    <w:rsid w:val="002F1B6B"/>
    <w:rsid w:val="0031535D"/>
    <w:rsid w:val="00334CF7"/>
    <w:rsid w:val="0035538D"/>
    <w:rsid w:val="00366500"/>
    <w:rsid w:val="00366892"/>
    <w:rsid w:val="00366C5D"/>
    <w:rsid w:val="00395AA1"/>
    <w:rsid w:val="003C1349"/>
    <w:rsid w:val="003C1B4C"/>
    <w:rsid w:val="003C485A"/>
    <w:rsid w:val="003D349C"/>
    <w:rsid w:val="003E028C"/>
    <w:rsid w:val="003F4F93"/>
    <w:rsid w:val="00410E59"/>
    <w:rsid w:val="00412688"/>
    <w:rsid w:val="0041777B"/>
    <w:rsid w:val="00480682"/>
    <w:rsid w:val="00485066"/>
    <w:rsid w:val="004A3297"/>
    <w:rsid w:val="004E0064"/>
    <w:rsid w:val="004E63EA"/>
    <w:rsid w:val="00523270"/>
    <w:rsid w:val="0052501C"/>
    <w:rsid w:val="00527666"/>
    <w:rsid w:val="005379FA"/>
    <w:rsid w:val="00542501"/>
    <w:rsid w:val="00551CB4"/>
    <w:rsid w:val="00551DFF"/>
    <w:rsid w:val="00571F1F"/>
    <w:rsid w:val="005734A5"/>
    <w:rsid w:val="0057765B"/>
    <w:rsid w:val="005826A2"/>
    <w:rsid w:val="00587AC5"/>
    <w:rsid w:val="005B2726"/>
    <w:rsid w:val="005B5D42"/>
    <w:rsid w:val="005D07A8"/>
    <w:rsid w:val="005E23C8"/>
    <w:rsid w:val="00602221"/>
    <w:rsid w:val="0060720B"/>
    <w:rsid w:val="0062793D"/>
    <w:rsid w:val="00630E10"/>
    <w:rsid w:val="00654853"/>
    <w:rsid w:val="006666B4"/>
    <w:rsid w:val="006B0B3F"/>
    <w:rsid w:val="006B354F"/>
    <w:rsid w:val="00700213"/>
    <w:rsid w:val="00702F94"/>
    <w:rsid w:val="007072EB"/>
    <w:rsid w:val="007102D2"/>
    <w:rsid w:val="00711F8E"/>
    <w:rsid w:val="007136F9"/>
    <w:rsid w:val="00792819"/>
    <w:rsid w:val="0079686C"/>
    <w:rsid w:val="007B3A7A"/>
    <w:rsid w:val="007C357E"/>
    <w:rsid w:val="007D17F2"/>
    <w:rsid w:val="007D21D4"/>
    <w:rsid w:val="007E660E"/>
    <w:rsid w:val="007F750C"/>
    <w:rsid w:val="00801C25"/>
    <w:rsid w:val="00815CFD"/>
    <w:rsid w:val="00821181"/>
    <w:rsid w:val="008225B5"/>
    <w:rsid w:val="00827557"/>
    <w:rsid w:val="00853D56"/>
    <w:rsid w:val="00885983"/>
    <w:rsid w:val="008A7E3E"/>
    <w:rsid w:val="008D620F"/>
    <w:rsid w:val="00904493"/>
    <w:rsid w:val="00906B38"/>
    <w:rsid w:val="009151F1"/>
    <w:rsid w:val="00932E66"/>
    <w:rsid w:val="00934FCF"/>
    <w:rsid w:val="00967529"/>
    <w:rsid w:val="00975A63"/>
    <w:rsid w:val="00976620"/>
    <w:rsid w:val="0097754B"/>
    <w:rsid w:val="00993E1C"/>
    <w:rsid w:val="009961D9"/>
    <w:rsid w:val="009A7B6B"/>
    <w:rsid w:val="009B5E0D"/>
    <w:rsid w:val="009C2036"/>
    <w:rsid w:val="009E2CF3"/>
    <w:rsid w:val="00A15428"/>
    <w:rsid w:val="00A252D7"/>
    <w:rsid w:val="00AA12D9"/>
    <w:rsid w:val="00AA738C"/>
    <w:rsid w:val="00AA7723"/>
    <w:rsid w:val="00AD264E"/>
    <w:rsid w:val="00B138A6"/>
    <w:rsid w:val="00B33674"/>
    <w:rsid w:val="00B524F9"/>
    <w:rsid w:val="00B5284B"/>
    <w:rsid w:val="00B537D9"/>
    <w:rsid w:val="00B560CC"/>
    <w:rsid w:val="00B617CA"/>
    <w:rsid w:val="00B61BE9"/>
    <w:rsid w:val="00B8618C"/>
    <w:rsid w:val="00BB7690"/>
    <w:rsid w:val="00BC0727"/>
    <w:rsid w:val="00BD1558"/>
    <w:rsid w:val="00BF0337"/>
    <w:rsid w:val="00BF432B"/>
    <w:rsid w:val="00BF516C"/>
    <w:rsid w:val="00BF555A"/>
    <w:rsid w:val="00C22AE6"/>
    <w:rsid w:val="00C41462"/>
    <w:rsid w:val="00C520B7"/>
    <w:rsid w:val="00C77EE3"/>
    <w:rsid w:val="00C83DCB"/>
    <w:rsid w:val="00CA0B9E"/>
    <w:rsid w:val="00CB53A7"/>
    <w:rsid w:val="00CE5D22"/>
    <w:rsid w:val="00CF5C46"/>
    <w:rsid w:val="00D2331A"/>
    <w:rsid w:val="00D369A1"/>
    <w:rsid w:val="00DA5D25"/>
    <w:rsid w:val="00DB141C"/>
    <w:rsid w:val="00DC3BFC"/>
    <w:rsid w:val="00DD4AFC"/>
    <w:rsid w:val="00DD59ED"/>
    <w:rsid w:val="00DE243F"/>
    <w:rsid w:val="00DE2B12"/>
    <w:rsid w:val="00DE552A"/>
    <w:rsid w:val="00E04B00"/>
    <w:rsid w:val="00E0538C"/>
    <w:rsid w:val="00E062CF"/>
    <w:rsid w:val="00E21BE2"/>
    <w:rsid w:val="00E4785A"/>
    <w:rsid w:val="00E75850"/>
    <w:rsid w:val="00E817FC"/>
    <w:rsid w:val="00EA31FB"/>
    <w:rsid w:val="00EA7167"/>
    <w:rsid w:val="00EB62E4"/>
    <w:rsid w:val="00EC3860"/>
    <w:rsid w:val="00EE0745"/>
    <w:rsid w:val="00F03D72"/>
    <w:rsid w:val="00F05828"/>
    <w:rsid w:val="00F26231"/>
    <w:rsid w:val="00F33421"/>
    <w:rsid w:val="00F4097D"/>
    <w:rsid w:val="00F40F87"/>
    <w:rsid w:val="00F43719"/>
    <w:rsid w:val="00F60067"/>
    <w:rsid w:val="00F66A22"/>
    <w:rsid w:val="00F72381"/>
    <w:rsid w:val="00FA2E1E"/>
    <w:rsid w:val="00FB4CA7"/>
    <w:rsid w:val="00FB7488"/>
    <w:rsid w:val="00FC141E"/>
    <w:rsid w:val="00FD6F0B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819C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6</cp:revision>
  <dcterms:created xsi:type="dcterms:W3CDTF">2020-07-28T03:35:00Z</dcterms:created>
  <dcterms:modified xsi:type="dcterms:W3CDTF">2020-09-11T01:44:00Z</dcterms:modified>
</cp:coreProperties>
</file>