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>Вестник Московского университета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Серия 11 Право 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Научный журнал 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Основан в ноябре 1946 г.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Издательство Московского университета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Выходит один раз в два месяца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79FA" w:rsidRDefault="005E23C8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5734A5">
        <w:rPr>
          <w:rFonts w:ascii="Times New Roman" w:hAnsi="Times New Roman" w:cs="Times New Roman"/>
          <w:b/>
          <w:sz w:val="24"/>
          <w:szCs w:val="24"/>
        </w:rPr>
        <w:t>4</w:t>
      </w:r>
      <w:r w:rsidR="00B524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– 201</w:t>
      </w:r>
      <w:r w:rsidR="0052501C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F4097D" w:rsidRPr="008859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5734A5" w:rsidRPr="005734A5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5734A5">
        <w:rPr>
          <w:rFonts w:ascii="Times New Roman" w:hAnsi="Times New Roman" w:cs="Times New Roman"/>
          <w:b/>
          <w:sz w:val="24"/>
          <w:szCs w:val="24"/>
          <w:lang w:val="ru-RU"/>
        </w:rPr>
        <w:t>юль</w:t>
      </w:r>
      <w:r w:rsidR="005734A5" w:rsidRPr="005734A5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5734A5">
        <w:rPr>
          <w:rFonts w:ascii="Times New Roman" w:hAnsi="Times New Roman" w:cs="Times New Roman"/>
          <w:b/>
          <w:sz w:val="24"/>
          <w:szCs w:val="24"/>
          <w:lang w:val="ru-RU"/>
        </w:rPr>
        <w:t>Август</w:t>
      </w:r>
    </w:p>
    <w:p w:rsidR="00EA31FB" w:rsidRDefault="00EA31FB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31FB" w:rsidRPr="00EA31FB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1FB">
        <w:rPr>
          <w:rFonts w:ascii="Times New Roman" w:hAnsi="Times New Roman" w:cs="Times New Roman"/>
          <w:sz w:val="24"/>
          <w:szCs w:val="24"/>
          <w:lang w:val="ru-RU"/>
        </w:rPr>
        <w:t>Проблемы экологического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31FB">
        <w:rPr>
          <w:rFonts w:ascii="Times New Roman" w:hAnsi="Times New Roman" w:cs="Times New Roman"/>
          <w:sz w:val="24"/>
          <w:szCs w:val="24"/>
          <w:lang w:val="ru-RU"/>
        </w:rPr>
        <w:t>и земельного права</w:t>
      </w:r>
    </w:p>
    <w:p w:rsidR="00EA31FB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31FB" w:rsidRPr="00EA31FB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1FB">
        <w:rPr>
          <w:rFonts w:ascii="Times New Roman" w:hAnsi="Times New Roman" w:cs="Times New Roman"/>
          <w:b/>
          <w:sz w:val="24"/>
          <w:szCs w:val="24"/>
          <w:lang w:val="ru-RU"/>
        </w:rPr>
        <w:t>И.А. Игнатьева,</w:t>
      </w:r>
      <w:r w:rsidRPr="00EA31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31FB">
        <w:rPr>
          <w:rFonts w:ascii="Times New Roman" w:hAnsi="Times New Roman" w:cs="Times New Roman"/>
          <w:i/>
          <w:sz w:val="24"/>
          <w:szCs w:val="24"/>
          <w:lang w:val="ru-RU"/>
        </w:rPr>
        <w:t>доктор юридических наук, профессор кафедры экологического и земельного права юридического факультета МГУ</w:t>
      </w:r>
      <w:r w:rsidRPr="00EA31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A31FB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31FB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1FB">
        <w:rPr>
          <w:rFonts w:ascii="Times New Roman" w:hAnsi="Times New Roman" w:cs="Times New Roman"/>
          <w:b/>
          <w:sz w:val="24"/>
          <w:szCs w:val="24"/>
          <w:lang w:val="ru-RU"/>
        </w:rPr>
        <w:t>Правовой обычай в регулировании</w:t>
      </w:r>
      <w:r w:rsidRPr="00EA31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A31FB">
        <w:rPr>
          <w:rFonts w:ascii="Times New Roman" w:hAnsi="Times New Roman" w:cs="Times New Roman"/>
          <w:b/>
          <w:sz w:val="24"/>
          <w:szCs w:val="24"/>
          <w:lang w:val="ru-RU"/>
        </w:rPr>
        <w:t>отношений по природопользованию</w:t>
      </w:r>
      <w:r w:rsidRPr="00EA31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A31FB">
        <w:rPr>
          <w:rFonts w:ascii="Times New Roman" w:hAnsi="Times New Roman" w:cs="Times New Roman"/>
          <w:b/>
          <w:sz w:val="24"/>
          <w:szCs w:val="24"/>
          <w:lang w:val="ru-RU"/>
        </w:rPr>
        <w:t>и охране окружающей среды</w:t>
      </w:r>
    </w:p>
    <w:p w:rsidR="00EA31FB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31FB" w:rsidRPr="00B537D9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537D9">
        <w:rPr>
          <w:rFonts w:ascii="Times New Roman" w:hAnsi="Times New Roman" w:cs="Times New Roman"/>
          <w:i/>
          <w:sz w:val="24"/>
          <w:szCs w:val="24"/>
          <w:lang w:val="ru-RU"/>
        </w:rPr>
        <w:t>Правовой обычай не является распространенным источником права в экологическом праве и законодательстве, как и во всей системе российского права и законодательства. В статье анализируются все немногочисленные прямые указания на данный источник права в регулировании экологических отношений. Часть</w:t>
      </w:r>
      <w:r w:rsidR="00B537D9" w:rsidRPr="00B537D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537D9">
        <w:rPr>
          <w:rFonts w:ascii="Times New Roman" w:hAnsi="Times New Roman" w:cs="Times New Roman"/>
          <w:i/>
          <w:sz w:val="24"/>
          <w:szCs w:val="24"/>
          <w:lang w:val="ru-RU"/>
        </w:rPr>
        <w:t>случаев применения обычаев в регулировании деятельности по природопользованию и охране окружающей среды обусловлена наличием санкционирования применения данного источника права в смежных отраслях законодательства.</w:t>
      </w:r>
    </w:p>
    <w:p w:rsidR="00B537D9" w:rsidRDefault="00B537D9" w:rsidP="00EA31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A31FB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1F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EA31FB">
        <w:rPr>
          <w:rFonts w:ascii="Times New Roman" w:hAnsi="Times New Roman" w:cs="Times New Roman"/>
          <w:sz w:val="24"/>
          <w:szCs w:val="24"/>
          <w:lang w:val="ru-RU"/>
        </w:rPr>
        <w:t>природопользование, охрана окружающей среды, территории традиционного природопользования, земельные отношения, имущественные отношения, земельное законодательство, правовой обычай.</w:t>
      </w:r>
    </w:p>
    <w:p w:rsidR="00B537D9" w:rsidRDefault="00B537D9" w:rsidP="00EA31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1FB" w:rsidRPr="00B537D9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7D9">
        <w:rPr>
          <w:rFonts w:ascii="Times New Roman" w:hAnsi="Times New Roman" w:cs="Times New Roman"/>
          <w:i/>
          <w:sz w:val="24"/>
          <w:szCs w:val="24"/>
        </w:rPr>
        <w:t>Legal custom is not an accepted source of law in environmental law and legislation,</w:t>
      </w:r>
      <w:r w:rsidR="00B537D9" w:rsidRPr="00B53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7D9">
        <w:rPr>
          <w:rFonts w:ascii="Times New Roman" w:hAnsi="Times New Roman" w:cs="Times New Roman"/>
          <w:i/>
          <w:sz w:val="24"/>
          <w:szCs w:val="24"/>
        </w:rPr>
        <w:t>as in the whole system of Russian law and legislation. All the few direct indications of</w:t>
      </w:r>
      <w:r w:rsidR="00B537D9" w:rsidRPr="00B53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7D9">
        <w:rPr>
          <w:rFonts w:ascii="Times New Roman" w:hAnsi="Times New Roman" w:cs="Times New Roman"/>
          <w:i/>
          <w:sz w:val="24"/>
          <w:szCs w:val="24"/>
        </w:rPr>
        <w:t>this source of law in the regulation of environmental relations are analyzed in the article.</w:t>
      </w:r>
      <w:r w:rsidR="00B537D9" w:rsidRPr="00B53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7D9">
        <w:rPr>
          <w:rFonts w:ascii="Times New Roman" w:hAnsi="Times New Roman" w:cs="Times New Roman"/>
          <w:i/>
          <w:sz w:val="24"/>
          <w:szCs w:val="24"/>
        </w:rPr>
        <w:t>Part of the cases of application of customs in the regulation of use of natural resources</w:t>
      </w:r>
      <w:r w:rsidR="00B537D9" w:rsidRPr="00B53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7D9">
        <w:rPr>
          <w:rFonts w:ascii="Times New Roman" w:hAnsi="Times New Roman" w:cs="Times New Roman"/>
          <w:i/>
          <w:sz w:val="24"/>
          <w:szCs w:val="24"/>
        </w:rPr>
        <w:t>and environmental protection is due to the availability of authorization of the application</w:t>
      </w:r>
      <w:r w:rsidR="00B537D9" w:rsidRPr="00B53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7D9">
        <w:rPr>
          <w:rFonts w:ascii="Times New Roman" w:hAnsi="Times New Roman" w:cs="Times New Roman"/>
          <w:i/>
          <w:sz w:val="24"/>
          <w:szCs w:val="24"/>
        </w:rPr>
        <w:t>of this source of law in related sectors of legislation.</w:t>
      </w:r>
    </w:p>
    <w:p w:rsidR="00B537D9" w:rsidRDefault="00B537D9" w:rsidP="00EA31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31FB" w:rsidRPr="00EA31FB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FB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EA31FB">
        <w:rPr>
          <w:rFonts w:ascii="Times New Roman" w:hAnsi="Times New Roman" w:cs="Times New Roman"/>
          <w:sz w:val="24"/>
          <w:szCs w:val="24"/>
        </w:rPr>
        <w:t xml:space="preserve"> use of natural resources, environmental protection, territories of traditional</w:t>
      </w:r>
    </w:p>
    <w:p w:rsidR="00EA31FB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FB">
        <w:rPr>
          <w:rFonts w:ascii="Times New Roman" w:hAnsi="Times New Roman" w:cs="Times New Roman"/>
          <w:sz w:val="24"/>
          <w:szCs w:val="24"/>
        </w:rPr>
        <w:t>nature use, land relations, property relations, land legislation, legal custom.</w:t>
      </w:r>
    </w:p>
    <w:p w:rsidR="00EA31FB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1FB" w:rsidRPr="00EA31FB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1FB">
        <w:rPr>
          <w:rFonts w:ascii="Times New Roman" w:hAnsi="Times New Roman" w:cs="Times New Roman"/>
          <w:sz w:val="24"/>
          <w:szCs w:val="24"/>
          <w:lang w:val="ru-RU"/>
        </w:rPr>
        <w:t>Проблемы административного права</w:t>
      </w:r>
    </w:p>
    <w:p w:rsidR="00EA31FB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31FB" w:rsidRPr="00EA31FB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1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Е.В. </w:t>
      </w:r>
      <w:proofErr w:type="spellStart"/>
      <w:r w:rsidRPr="00EA31FB">
        <w:rPr>
          <w:rFonts w:ascii="Times New Roman" w:hAnsi="Times New Roman" w:cs="Times New Roman"/>
          <w:b/>
          <w:sz w:val="24"/>
          <w:szCs w:val="24"/>
          <w:lang w:val="ru-RU"/>
        </w:rPr>
        <w:t>Овчарова</w:t>
      </w:r>
      <w:proofErr w:type="spellEnd"/>
      <w:r w:rsidRPr="00EA31FB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EA31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37D9">
        <w:rPr>
          <w:rFonts w:ascii="Times New Roman" w:hAnsi="Times New Roman" w:cs="Times New Roman"/>
          <w:i/>
          <w:sz w:val="24"/>
          <w:szCs w:val="24"/>
          <w:lang w:val="ru-RU"/>
        </w:rPr>
        <w:t>кандидат юридических наук, старший преподаватель</w:t>
      </w:r>
      <w:r w:rsidRPr="00B537D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537D9">
        <w:rPr>
          <w:rFonts w:ascii="Times New Roman" w:hAnsi="Times New Roman" w:cs="Times New Roman"/>
          <w:i/>
          <w:sz w:val="24"/>
          <w:szCs w:val="24"/>
          <w:lang w:val="ru-RU"/>
        </w:rPr>
        <w:t>кафедры финансового права юридического факультета МГУ, заместитель директора Института проблем административно-правового регулирования НИУ ВШЭ</w:t>
      </w:r>
    </w:p>
    <w:p w:rsidR="00EA31FB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31FB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1F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</w:t>
      </w:r>
      <w:r w:rsidRPr="00EA31FB">
        <w:rPr>
          <w:rFonts w:ascii="Times New Roman" w:hAnsi="Times New Roman" w:cs="Times New Roman"/>
          <w:b/>
          <w:sz w:val="24"/>
          <w:szCs w:val="24"/>
          <w:lang w:val="ru-RU"/>
        </w:rPr>
        <w:t>истема мер административного принуждения за нарушения налогового законодательства и проблемы их реализации</w:t>
      </w:r>
    </w:p>
    <w:p w:rsidR="00EA31FB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31FB" w:rsidRPr="00B537D9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537D9">
        <w:rPr>
          <w:rFonts w:ascii="Times New Roman" w:hAnsi="Times New Roman" w:cs="Times New Roman"/>
          <w:i/>
          <w:sz w:val="24"/>
          <w:szCs w:val="24"/>
          <w:lang w:val="ru-RU"/>
        </w:rPr>
        <w:t>Статья посвящена классификации мер административного принуждения</w:t>
      </w:r>
      <w:r w:rsidR="00B537D9" w:rsidRPr="00B537D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537D9">
        <w:rPr>
          <w:rFonts w:ascii="Times New Roman" w:hAnsi="Times New Roman" w:cs="Times New Roman"/>
          <w:i/>
          <w:sz w:val="24"/>
          <w:szCs w:val="24"/>
          <w:lang w:val="ru-RU"/>
        </w:rPr>
        <w:t>за нарушения налогового законодательства по основаниям и видам. Анализ системы указанных мер строится с учетом их целей и оснований применения, способа обеспечения ими правопорядка и содержания мер. Это позволило автору выявить недостатки как в правовом регулировании, так и в практике применения</w:t>
      </w:r>
      <w:r w:rsidR="00B537D9" w:rsidRPr="00B537D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537D9">
        <w:rPr>
          <w:rFonts w:ascii="Times New Roman" w:hAnsi="Times New Roman" w:cs="Times New Roman"/>
          <w:i/>
          <w:sz w:val="24"/>
          <w:szCs w:val="24"/>
          <w:lang w:val="ru-RU"/>
        </w:rPr>
        <w:t>данных мер, выработать и предложить способы решения обозначенных проблем.</w:t>
      </w:r>
    </w:p>
    <w:p w:rsidR="00B537D9" w:rsidRDefault="00B537D9" w:rsidP="00EA31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A31FB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1F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EA31FB">
        <w:rPr>
          <w:rFonts w:ascii="Times New Roman" w:hAnsi="Times New Roman" w:cs="Times New Roman"/>
          <w:sz w:val="24"/>
          <w:szCs w:val="24"/>
          <w:lang w:val="ru-RU"/>
        </w:rPr>
        <w:t>административное принуждение, административная</w:t>
      </w:r>
      <w:r w:rsidR="00B53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31FB">
        <w:rPr>
          <w:rFonts w:ascii="Times New Roman" w:hAnsi="Times New Roman" w:cs="Times New Roman"/>
          <w:sz w:val="24"/>
          <w:szCs w:val="24"/>
          <w:lang w:val="ru-RU"/>
        </w:rPr>
        <w:t>ответственность, принуждение за нарушение налогового законодательства,</w:t>
      </w:r>
      <w:r w:rsidR="00B53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31FB">
        <w:rPr>
          <w:rFonts w:ascii="Times New Roman" w:hAnsi="Times New Roman" w:cs="Times New Roman"/>
          <w:sz w:val="24"/>
          <w:szCs w:val="24"/>
          <w:lang w:val="ru-RU"/>
        </w:rPr>
        <w:t>ответственность за нарушения налогового законодательства, административное правонарушение, нарушение налогового законодательства, административные наказания, налоговые санкции, принципы административного</w:t>
      </w:r>
      <w:r w:rsidR="00B53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31FB">
        <w:rPr>
          <w:rFonts w:ascii="Times New Roman" w:hAnsi="Times New Roman" w:cs="Times New Roman"/>
          <w:sz w:val="24"/>
          <w:szCs w:val="24"/>
          <w:lang w:val="ru-RU"/>
        </w:rPr>
        <w:t>принуждения, принципы административной ответственности, Кодекс РФ</w:t>
      </w:r>
      <w:r w:rsidR="00B53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31FB">
        <w:rPr>
          <w:rFonts w:ascii="Times New Roman" w:hAnsi="Times New Roman" w:cs="Times New Roman"/>
          <w:sz w:val="24"/>
          <w:szCs w:val="24"/>
          <w:lang w:val="ru-RU"/>
        </w:rPr>
        <w:t>об административных правонарушениях, Налоговый кодекс РФ, налоговый</w:t>
      </w:r>
      <w:r w:rsidR="00B53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31FB">
        <w:rPr>
          <w:rFonts w:ascii="Times New Roman" w:hAnsi="Times New Roman" w:cs="Times New Roman"/>
          <w:sz w:val="24"/>
          <w:szCs w:val="24"/>
          <w:lang w:val="ru-RU"/>
        </w:rPr>
        <w:t>комплаенс,</w:t>
      </w:r>
      <w:r w:rsidR="00B53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31FB">
        <w:rPr>
          <w:rFonts w:ascii="Times New Roman" w:hAnsi="Times New Roman" w:cs="Times New Roman"/>
          <w:sz w:val="24"/>
          <w:szCs w:val="24"/>
          <w:lang w:val="ru-RU"/>
        </w:rPr>
        <w:t>пресекательные</w:t>
      </w:r>
      <w:proofErr w:type="spellEnd"/>
      <w:r w:rsidRPr="00EA31FB">
        <w:rPr>
          <w:rFonts w:ascii="Times New Roman" w:hAnsi="Times New Roman" w:cs="Times New Roman"/>
          <w:sz w:val="24"/>
          <w:szCs w:val="24"/>
          <w:lang w:val="ru-RU"/>
        </w:rPr>
        <w:t xml:space="preserve"> меры, обеспечительные меры, восстановительные меры, карательные меры.</w:t>
      </w:r>
    </w:p>
    <w:p w:rsidR="00B537D9" w:rsidRDefault="00B537D9" w:rsidP="00EA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1FB" w:rsidRPr="00B537D9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7D9">
        <w:rPr>
          <w:rFonts w:ascii="Times New Roman" w:hAnsi="Times New Roman" w:cs="Times New Roman"/>
          <w:i/>
          <w:sz w:val="24"/>
          <w:szCs w:val="24"/>
        </w:rPr>
        <w:t>The article is devoted to classifying, by grounds and types, administrative enforcement</w:t>
      </w:r>
      <w:r w:rsidR="00B537D9" w:rsidRPr="00B53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7D9">
        <w:rPr>
          <w:rFonts w:ascii="Times New Roman" w:hAnsi="Times New Roman" w:cs="Times New Roman"/>
          <w:i/>
          <w:sz w:val="24"/>
          <w:szCs w:val="24"/>
        </w:rPr>
        <w:t>measures for violations of tax legislation. The analysis of the system of these</w:t>
      </w:r>
      <w:r w:rsidR="00B537D9" w:rsidRPr="00B53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7D9">
        <w:rPr>
          <w:rFonts w:ascii="Times New Roman" w:hAnsi="Times New Roman" w:cs="Times New Roman"/>
          <w:i/>
          <w:sz w:val="24"/>
          <w:szCs w:val="24"/>
        </w:rPr>
        <w:t>measures is constructed taking account of their purposes and the grounds for applying</w:t>
      </w:r>
      <w:r w:rsidR="00B537D9" w:rsidRPr="00B53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7D9">
        <w:rPr>
          <w:rFonts w:ascii="Times New Roman" w:hAnsi="Times New Roman" w:cs="Times New Roman"/>
          <w:i/>
          <w:sz w:val="24"/>
          <w:szCs w:val="24"/>
        </w:rPr>
        <w:t>them, the method for them to secure the administration of justice, and the content of the</w:t>
      </w:r>
      <w:r w:rsidR="00B537D9" w:rsidRPr="00B53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7D9">
        <w:rPr>
          <w:rFonts w:ascii="Times New Roman" w:hAnsi="Times New Roman" w:cs="Times New Roman"/>
          <w:i/>
          <w:sz w:val="24"/>
          <w:szCs w:val="24"/>
        </w:rPr>
        <w:t>measures in question. This has allowed the author</w:t>
      </w:r>
      <w:r w:rsidR="00B537D9" w:rsidRPr="00B53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7D9">
        <w:rPr>
          <w:rFonts w:ascii="Times New Roman" w:hAnsi="Times New Roman" w:cs="Times New Roman"/>
          <w:i/>
          <w:sz w:val="24"/>
          <w:szCs w:val="24"/>
        </w:rPr>
        <w:t>to identify shortcomings both in the</w:t>
      </w:r>
      <w:r w:rsidR="00B537D9" w:rsidRPr="00B53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7D9">
        <w:rPr>
          <w:rFonts w:ascii="Times New Roman" w:hAnsi="Times New Roman" w:cs="Times New Roman"/>
          <w:i/>
          <w:sz w:val="24"/>
          <w:szCs w:val="24"/>
        </w:rPr>
        <w:t>legal regulation and in the practice of applying administrative enforcement measures for</w:t>
      </w:r>
      <w:r w:rsidR="00B537D9" w:rsidRPr="00B53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7D9">
        <w:rPr>
          <w:rFonts w:ascii="Times New Roman" w:hAnsi="Times New Roman" w:cs="Times New Roman"/>
          <w:i/>
          <w:sz w:val="24"/>
          <w:szCs w:val="24"/>
        </w:rPr>
        <w:t>violations of tax legislation, as well as to devise and propose in the article methods for</w:t>
      </w:r>
      <w:r w:rsidR="00B537D9" w:rsidRPr="00B53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7D9">
        <w:rPr>
          <w:rFonts w:ascii="Times New Roman" w:hAnsi="Times New Roman" w:cs="Times New Roman"/>
          <w:i/>
          <w:sz w:val="24"/>
          <w:szCs w:val="24"/>
        </w:rPr>
        <w:t>solving the above problems.</w:t>
      </w:r>
    </w:p>
    <w:p w:rsidR="00B537D9" w:rsidRDefault="00B537D9" w:rsidP="00EA31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31FB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FB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EA31FB">
        <w:rPr>
          <w:rFonts w:ascii="Times New Roman" w:hAnsi="Times New Roman" w:cs="Times New Roman"/>
          <w:sz w:val="24"/>
          <w:szCs w:val="24"/>
        </w:rPr>
        <w:t>administrative enforcement, administrative liability, enforcement for</w:t>
      </w:r>
      <w:r w:rsidR="00B537D9" w:rsidRPr="00B537D9">
        <w:rPr>
          <w:rFonts w:ascii="Times New Roman" w:hAnsi="Times New Roman" w:cs="Times New Roman"/>
          <w:sz w:val="24"/>
          <w:szCs w:val="24"/>
        </w:rPr>
        <w:t xml:space="preserve"> </w:t>
      </w:r>
      <w:r w:rsidRPr="00EA31FB">
        <w:rPr>
          <w:rFonts w:ascii="Times New Roman" w:hAnsi="Times New Roman" w:cs="Times New Roman"/>
          <w:sz w:val="24"/>
          <w:szCs w:val="24"/>
        </w:rPr>
        <w:t>a violation of tax legislation, liability for a violation of tax legislation, administrative</w:t>
      </w:r>
      <w:r w:rsidR="00B537D9" w:rsidRPr="00B537D9">
        <w:rPr>
          <w:rFonts w:ascii="Times New Roman" w:hAnsi="Times New Roman" w:cs="Times New Roman"/>
          <w:sz w:val="24"/>
          <w:szCs w:val="24"/>
        </w:rPr>
        <w:t xml:space="preserve"> </w:t>
      </w:r>
      <w:r w:rsidRPr="00EA31FB">
        <w:rPr>
          <w:rFonts w:ascii="Times New Roman" w:hAnsi="Times New Roman" w:cs="Times New Roman"/>
          <w:sz w:val="24"/>
          <w:szCs w:val="24"/>
        </w:rPr>
        <w:t>offence, violation of tax legislation, administrative punishments, tax sanctions, principles</w:t>
      </w:r>
      <w:r w:rsidR="00B537D9" w:rsidRPr="00B537D9">
        <w:rPr>
          <w:rFonts w:ascii="Times New Roman" w:hAnsi="Times New Roman" w:cs="Times New Roman"/>
          <w:sz w:val="24"/>
          <w:szCs w:val="24"/>
        </w:rPr>
        <w:t xml:space="preserve"> </w:t>
      </w:r>
      <w:r w:rsidRPr="00EA31FB">
        <w:rPr>
          <w:rFonts w:ascii="Times New Roman" w:hAnsi="Times New Roman" w:cs="Times New Roman"/>
          <w:sz w:val="24"/>
          <w:szCs w:val="24"/>
        </w:rPr>
        <w:t>of administrative enforcement, principles of administrative liability, Code of</w:t>
      </w:r>
      <w:r w:rsidRPr="00EA31FB">
        <w:rPr>
          <w:rFonts w:ascii="Times New Roman" w:hAnsi="Times New Roman" w:cs="Times New Roman"/>
          <w:sz w:val="24"/>
          <w:szCs w:val="24"/>
        </w:rPr>
        <w:t xml:space="preserve"> </w:t>
      </w:r>
      <w:r w:rsidRPr="00EA31FB">
        <w:rPr>
          <w:rFonts w:ascii="Times New Roman" w:hAnsi="Times New Roman" w:cs="Times New Roman"/>
          <w:sz w:val="24"/>
          <w:szCs w:val="24"/>
        </w:rPr>
        <w:t>Administrative Offences of the Russian Federation, Tax Code of the Russian Federation,</w:t>
      </w:r>
      <w:r w:rsidR="00B537D9" w:rsidRPr="00B537D9">
        <w:rPr>
          <w:rFonts w:ascii="Times New Roman" w:hAnsi="Times New Roman" w:cs="Times New Roman"/>
          <w:sz w:val="24"/>
          <w:szCs w:val="24"/>
        </w:rPr>
        <w:t xml:space="preserve"> </w:t>
      </w:r>
      <w:r w:rsidRPr="00EA31FB">
        <w:rPr>
          <w:rFonts w:ascii="Times New Roman" w:hAnsi="Times New Roman" w:cs="Times New Roman"/>
          <w:sz w:val="24"/>
          <w:szCs w:val="24"/>
        </w:rPr>
        <w:t>tax compliance, preclusive measures, security measures, restorative measures,</w:t>
      </w:r>
      <w:r w:rsidR="00B537D9" w:rsidRPr="00B537D9">
        <w:rPr>
          <w:rFonts w:ascii="Times New Roman" w:hAnsi="Times New Roman" w:cs="Times New Roman"/>
          <w:sz w:val="24"/>
          <w:szCs w:val="24"/>
        </w:rPr>
        <w:t xml:space="preserve"> </w:t>
      </w:r>
      <w:r w:rsidRPr="00EA31FB">
        <w:rPr>
          <w:rFonts w:ascii="Times New Roman" w:hAnsi="Times New Roman" w:cs="Times New Roman"/>
          <w:sz w:val="24"/>
          <w:szCs w:val="24"/>
        </w:rPr>
        <w:t>punitive measures.</w:t>
      </w:r>
    </w:p>
    <w:p w:rsidR="00EA31FB" w:rsidRDefault="00EA31FB" w:rsidP="00EA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A22" w:rsidRPr="00F66A22" w:rsidRDefault="00F66A22" w:rsidP="00F6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A22">
        <w:rPr>
          <w:rFonts w:ascii="Times New Roman" w:hAnsi="Times New Roman" w:cs="Times New Roman"/>
          <w:sz w:val="24"/>
          <w:szCs w:val="24"/>
          <w:lang w:val="ru-RU"/>
        </w:rPr>
        <w:t>Проблемы конституционного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6A22">
        <w:rPr>
          <w:rFonts w:ascii="Times New Roman" w:hAnsi="Times New Roman" w:cs="Times New Roman"/>
          <w:sz w:val="24"/>
          <w:szCs w:val="24"/>
          <w:lang w:val="ru-RU"/>
        </w:rPr>
        <w:t>и муниципального права</w:t>
      </w:r>
    </w:p>
    <w:p w:rsidR="00F66A22" w:rsidRDefault="00F66A22" w:rsidP="00F6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6A22" w:rsidRPr="00F66A22" w:rsidRDefault="00F66A22" w:rsidP="00F6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A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А.Н. Рыков, </w:t>
      </w:r>
      <w:r w:rsidRPr="00F66A22">
        <w:rPr>
          <w:rFonts w:ascii="Times New Roman" w:hAnsi="Times New Roman" w:cs="Times New Roman"/>
          <w:i/>
          <w:sz w:val="24"/>
          <w:szCs w:val="24"/>
          <w:lang w:val="ru-RU"/>
        </w:rPr>
        <w:t>кандидат юридических наук, первый заместитель Главы</w:t>
      </w:r>
      <w:r w:rsidRPr="00F66A2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66A22">
        <w:rPr>
          <w:rFonts w:ascii="Times New Roman" w:hAnsi="Times New Roman" w:cs="Times New Roman"/>
          <w:i/>
          <w:sz w:val="24"/>
          <w:szCs w:val="24"/>
          <w:lang w:val="ru-RU"/>
        </w:rPr>
        <w:t>города Сочи</w:t>
      </w:r>
    </w:p>
    <w:p w:rsidR="00F66A22" w:rsidRDefault="00F66A22" w:rsidP="00F6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6A22" w:rsidRPr="00F66A22" w:rsidRDefault="00F66A22" w:rsidP="00F66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6A22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F66A22">
        <w:rPr>
          <w:rFonts w:ascii="Times New Roman" w:hAnsi="Times New Roman" w:cs="Times New Roman"/>
          <w:b/>
          <w:sz w:val="24"/>
          <w:szCs w:val="24"/>
          <w:lang w:val="ru-RU"/>
        </w:rPr>
        <w:t>еобходима ли новая реформа местного самоуправления</w:t>
      </w:r>
      <w:r w:rsidRPr="00F66A22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B524F9" w:rsidRPr="00F66A22" w:rsidRDefault="00B524F9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6A22" w:rsidRPr="00B33674" w:rsidRDefault="00F66A22" w:rsidP="00F66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В статье рассматривается вопрос о целесообразности проведения новой</w:t>
      </w:r>
      <w:r w:rsidR="00B537D9"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реформы на уровне местного самоуправления с целью определения местного муниципального и местного государственного уровней публичной власти и управления и разграничения предметов ведения и полномочий между ними.</w:t>
      </w:r>
    </w:p>
    <w:p w:rsidR="00B33674" w:rsidRDefault="00B33674" w:rsidP="00F66A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66A22" w:rsidRPr="00B537D9" w:rsidRDefault="00F66A22" w:rsidP="00F6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A22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Ключевые слова: </w:t>
      </w:r>
      <w:r w:rsidRPr="00F66A22">
        <w:rPr>
          <w:rFonts w:ascii="Times New Roman" w:hAnsi="Times New Roman" w:cs="Times New Roman"/>
          <w:sz w:val="24"/>
          <w:szCs w:val="24"/>
          <w:lang w:val="ru-RU"/>
        </w:rPr>
        <w:t>местное самоуправление, местная государственная</w:t>
      </w:r>
      <w:r w:rsidR="00B53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6A22">
        <w:rPr>
          <w:rFonts w:ascii="Times New Roman" w:hAnsi="Times New Roman" w:cs="Times New Roman"/>
          <w:sz w:val="24"/>
          <w:szCs w:val="24"/>
          <w:lang w:val="ru-RU"/>
        </w:rPr>
        <w:t>власть, поселения, территориальный уровень местного самоуправления, местная</w:t>
      </w:r>
      <w:r w:rsidRPr="00B53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6A22">
        <w:rPr>
          <w:rFonts w:ascii="Times New Roman" w:hAnsi="Times New Roman" w:cs="Times New Roman"/>
          <w:sz w:val="24"/>
          <w:szCs w:val="24"/>
          <w:lang w:val="ru-RU"/>
        </w:rPr>
        <w:t>публичная</w:t>
      </w:r>
      <w:r w:rsidRPr="00B53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6A22">
        <w:rPr>
          <w:rFonts w:ascii="Times New Roman" w:hAnsi="Times New Roman" w:cs="Times New Roman"/>
          <w:sz w:val="24"/>
          <w:szCs w:val="24"/>
          <w:lang w:val="ru-RU"/>
        </w:rPr>
        <w:t>власть</w:t>
      </w:r>
      <w:r w:rsidRPr="00B537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3674" w:rsidRDefault="00B33674" w:rsidP="00F6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A5" w:rsidRPr="00B33674" w:rsidRDefault="00F66A22" w:rsidP="00F66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674">
        <w:rPr>
          <w:rFonts w:ascii="Times New Roman" w:hAnsi="Times New Roman" w:cs="Times New Roman"/>
          <w:i/>
          <w:sz w:val="24"/>
          <w:szCs w:val="24"/>
        </w:rPr>
        <w:t>The question of expediency of carrying out of new reform at the level of local self</w:t>
      </w:r>
      <w:r w:rsidR="00B537D9" w:rsidRPr="00B33674">
        <w:rPr>
          <w:rFonts w:ascii="Times New Roman" w:hAnsi="Times New Roman" w:cs="Times New Roman"/>
          <w:i/>
          <w:sz w:val="24"/>
          <w:szCs w:val="24"/>
        </w:rPr>
        <w:t>-</w:t>
      </w:r>
      <w:r w:rsidRPr="00B33674">
        <w:rPr>
          <w:rFonts w:ascii="Times New Roman" w:hAnsi="Times New Roman" w:cs="Times New Roman"/>
          <w:i/>
          <w:sz w:val="24"/>
          <w:szCs w:val="24"/>
        </w:rPr>
        <w:t>government</w:t>
      </w:r>
      <w:r w:rsidR="00B537D9"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is considered in the article with the purpose of determination of local municipal</w:t>
      </w:r>
      <w:r w:rsidR="00B537D9"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and local state levels of public authority and governance and delimitation of functions</w:t>
      </w:r>
      <w:r w:rsidR="00B537D9"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and powers between bodies and officials of state power and bodies and officials of</w:t>
      </w:r>
      <w:r w:rsidR="00B537D9"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local self-government.</w:t>
      </w:r>
    </w:p>
    <w:p w:rsidR="00B33674" w:rsidRDefault="00B33674" w:rsidP="00F66A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6A22" w:rsidRPr="00F66A22" w:rsidRDefault="00F66A22" w:rsidP="00F6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22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F66A22">
        <w:rPr>
          <w:rFonts w:ascii="Times New Roman" w:hAnsi="Times New Roman" w:cs="Times New Roman"/>
          <w:sz w:val="24"/>
          <w:szCs w:val="24"/>
        </w:rPr>
        <w:t xml:space="preserve"> local self-government, local state governance, settlements, territorial</w:t>
      </w:r>
      <w:r w:rsidR="00B537D9" w:rsidRPr="00B537D9">
        <w:rPr>
          <w:rFonts w:ascii="Times New Roman" w:hAnsi="Times New Roman" w:cs="Times New Roman"/>
          <w:sz w:val="24"/>
          <w:szCs w:val="24"/>
        </w:rPr>
        <w:t xml:space="preserve"> </w:t>
      </w:r>
      <w:r w:rsidRPr="00F66A22">
        <w:rPr>
          <w:rFonts w:ascii="Times New Roman" w:hAnsi="Times New Roman" w:cs="Times New Roman"/>
          <w:sz w:val="24"/>
          <w:szCs w:val="24"/>
        </w:rPr>
        <w:t>level of local self-government, local public authority.</w:t>
      </w:r>
    </w:p>
    <w:p w:rsidR="005734A5" w:rsidRPr="00F66A22" w:rsidRDefault="005734A5" w:rsidP="00B5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A22" w:rsidRPr="00F66A22" w:rsidRDefault="00F66A22" w:rsidP="00F6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A22">
        <w:rPr>
          <w:rFonts w:ascii="Times New Roman" w:hAnsi="Times New Roman" w:cs="Times New Roman"/>
          <w:sz w:val="24"/>
          <w:szCs w:val="24"/>
          <w:lang w:val="ru-RU"/>
        </w:rPr>
        <w:t>Вопросы уголовного права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6A22">
        <w:rPr>
          <w:rFonts w:ascii="Times New Roman" w:hAnsi="Times New Roman" w:cs="Times New Roman"/>
          <w:sz w:val="24"/>
          <w:szCs w:val="24"/>
          <w:lang w:val="ru-RU"/>
        </w:rPr>
        <w:t>и процесса</w:t>
      </w:r>
    </w:p>
    <w:p w:rsidR="00F66A22" w:rsidRDefault="00F66A22" w:rsidP="00F6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6A22" w:rsidRPr="00F66A22" w:rsidRDefault="00F66A22" w:rsidP="00F6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A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В.Б. </w:t>
      </w:r>
      <w:proofErr w:type="spellStart"/>
      <w:r w:rsidRPr="00F66A22">
        <w:rPr>
          <w:rFonts w:ascii="Times New Roman" w:hAnsi="Times New Roman" w:cs="Times New Roman"/>
          <w:b/>
          <w:sz w:val="24"/>
          <w:szCs w:val="24"/>
          <w:lang w:val="ru-RU"/>
        </w:rPr>
        <w:t>Хатуев</w:t>
      </w:r>
      <w:proofErr w:type="spellEnd"/>
      <w:r w:rsidRPr="00F66A22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F66A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72C0">
        <w:rPr>
          <w:rFonts w:ascii="Times New Roman" w:hAnsi="Times New Roman" w:cs="Times New Roman"/>
          <w:i/>
          <w:sz w:val="24"/>
          <w:szCs w:val="24"/>
          <w:lang w:val="ru-RU"/>
        </w:rPr>
        <w:t>кандидат юридических наук, доцент кафедры уголовного</w:t>
      </w:r>
      <w:r w:rsidRPr="002972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972C0">
        <w:rPr>
          <w:rFonts w:ascii="Times New Roman" w:hAnsi="Times New Roman" w:cs="Times New Roman"/>
          <w:i/>
          <w:sz w:val="24"/>
          <w:szCs w:val="24"/>
          <w:lang w:val="ru-RU"/>
        </w:rPr>
        <w:t>права и криминологии юридического факультета Чеченского государственного университета</w:t>
      </w:r>
    </w:p>
    <w:p w:rsidR="00F66A22" w:rsidRDefault="00F66A22" w:rsidP="00F6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34A5" w:rsidRDefault="00F66A22" w:rsidP="00F66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72C0">
        <w:rPr>
          <w:rFonts w:ascii="Times New Roman" w:hAnsi="Times New Roman" w:cs="Times New Roman"/>
          <w:b/>
          <w:sz w:val="24"/>
          <w:szCs w:val="24"/>
          <w:lang w:val="ru-RU"/>
        </w:rPr>
        <w:t>История становления и развития</w:t>
      </w:r>
      <w:r w:rsidRPr="002972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972C0">
        <w:rPr>
          <w:rFonts w:ascii="Times New Roman" w:hAnsi="Times New Roman" w:cs="Times New Roman"/>
          <w:b/>
          <w:sz w:val="24"/>
          <w:szCs w:val="24"/>
          <w:lang w:val="ru-RU"/>
        </w:rPr>
        <w:t>российского уголовного законодательства</w:t>
      </w:r>
      <w:r w:rsidR="002972C0" w:rsidRPr="002972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972C0">
        <w:rPr>
          <w:rFonts w:ascii="Times New Roman" w:hAnsi="Times New Roman" w:cs="Times New Roman"/>
          <w:b/>
          <w:sz w:val="24"/>
          <w:szCs w:val="24"/>
          <w:lang w:val="ru-RU"/>
        </w:rPr>
        <w:t>об ответственности за склонение</w:t>
      </w:r>
      <w:r w:rsidR="002972C0" w:rsidRPr="002972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972C0">
        <w:rPr>
          <w:rFonts w:ascii="Times New Roman" w:hAnsi="Times New Roman" w:cs="Times New Roman"/>
          <w:b/>
          <w:sz w:val="24"/>
          <w:szCs w:val="24"/>
          <w:lang w:val="ru-RU"/>
        </w:rPr>
        <w:t>к самоубийству и содействие ему</w:t>
      </w:r>
    </w:p>
    <w:p w:rsidR="002972C0" w:rsidRDefault="002972C0" w:rsidP="00F66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72C0" w:rsidRPr="00B33674" w:rsidRDefault="002972C0" w:rsidP="002972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В данной статье предпринята попытка проследить эволюцию развития в</w:t>
      </w:r>
      <w:r w:rsidR="00B537D9"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российском уголовном законодательстве института склонения к самоубийству</w:t>
      </w:r>
      <w:r w:rsidR="00B537D9"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и содействия ему с первых дней его формирования и до настоящего времени.</w:t>
      </w:r>
    </w:p>
    <w:p w:rsidR="00B33674" w:rsidRDefault="00B33674" w:rsidP="002972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972C0" w:rsidRPr="00B537D9" w:rsidRDefault="002972C0" w:rsidP="00297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2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2972C0">
        <w:rPr>
          <w:rFonts w:ascii="Times New Roman" w:hAnsi="Times New Roman" w:cs="Times New Roman"/>
          <w:sz w:val="24"/>
          <w:szCs w:val="24"/>
          <w:lang w:val="ru-RU"/>
        </w:rPr>
        <w:t>самоубийство, доведение до самоубийства, склонение к</w:t>
      </w:r>
      <w:r w:rsidR="00B53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72C0">
        <w:rPr>
          <w:rFonts w:ascii="Times New Roman" w:hAnsi="Times New Roman" w:cs="Times New Roman"/>
          <w:sz w:val="24"/>
          <w:szCs w:val="24"/>
          <w:lang w:val="ru-RU"/>
        </w:rPr>
        <w:t>самоубийству</w:t>
      </w:r>
      <w:r w:rsidRPr="00B537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972C0">
        <w:rPr>
          <w:rFonts w:ascii="Times New Roman" w:hAnsi="Times New Roman" w:cs="Times New Roman"/>
          <w:sz w:val="24"/>
          <w:szCs w:val="24"/>
          <w:lang w:val="ru-RU"/>
        </w:rPr>
        <w:t>содействие</w:t>
      </w:r>
      <w:r w:rsidRPr="00B53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72C0">
        <w:rPr>
          <w:rFonts w:ascii="Times New Roman" w:hAnsi="Times New Roman" w:cs="Times New Roman"/>
          <w:sz w:val="24"/>
          <w:szCs w:val="24"/>
          <w:lang w:val="ru-RU"/>
        </w:rPr>
        <w:t>самоубийству</w:t>
      </w:r>
      <w:r w:rsidRPr="00B537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3674" w:rsidRDefault="00B33674" w:rsidP="00297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2C0" w:rsidRPr="00B33674" w:rsidRDefault="002972C0" w:rsidP="002972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674">
        <w:rPr>
          <w:rFonts w:ascii="Times New Roman" w:hAnsi="Times New Roman" w:cs="Times New Roman"/>
          <w:i/>
          <w:sz w:val="24"/>
          <w:szCs w:val="24"/>
        </w:rPr>
        <w:t>This article attempts to trace the evolution of development in Russian criminal law</w:t>
      </w:r>
      <w:r w:rsidR="00B537D9"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of institute of inducement and assistance to suicide in the first days of its formation to</w:t>
      </w:r>
      <w:r w:rsidR="00B537D9"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the present day.</w:t>
      </w:r>
    </w:p>
    <w:p w:rsidR="00B33674" w:rsidRDefault="00B33674" w:rsidP="002972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72C0" w:rsidRDefault="002972C0" w:rsidP="00297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C0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2972C0">
        <w:rPr>
          <w:rFonts w:ascii="Times New Roman" w:hAnsi="Times New Roman" w:cs="Times New Roman"/>
          <w:sz w:val="24"/>
          <w:szCs w:val="24"/>
        </w:rPr>
        <w:t>suicide, bringing to suicide, inducement to suicide, assistance to suicide.</w:t>
      </w:r>
    </w:p>
    <w:p w:rsidR="002972C0" w:rsidRDefault="002972C0" w:rsidP="00297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2C0" w:rsidRPr="002972C0" w:rsidRDefault="002972C0" w:rsidP="00297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2C0">
        <w:rPr>
          <w:rFonts w:ascii="Times New Roman" w:hAnsi="Times New Roman" w:cs="Times New Roman"/>
          <w:sz w:val="24"/>
          <w:szCs w:val="24"/>
          <w:lang w:val="ru-RU"/>
        </w:rPr>
        <w:t>Трибуна молодых ученых</w:t>
      </w:r>
    </w:p>
    <w:p w:rsidR="002972C0" w:rsidRDefault="002972C0" w:rsidP="00297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2C0" w:rsidRPr="002972C0" w:rsidRDefault="002972C0" w:rsidP="00297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2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Д.П. Заикин,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аспирант кафедры гражданского права юридического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факультета МГУ </w:t>
      </w:r>
    </w:p>
    <w:p w:rsidR="002972C0" w:rsidRDefault="002972C0" w:rsidP="00297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2C0" w:rsidRDefault="002972C0" w:rsidP="002972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72C0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2972C0">
        <w:rPr>
          <w:rFonts w:ascii="Times New Roman" w:hAnsi="Times New Roman" w:cs="Times New Roman"/>
          <w:b/>
          <w:sz w:val="24"/>
          <w:szCs w:val="24"/>
          <w:lang w:val="ru-RU"/>
        </w:rPr>
        <w:t>роблемы создания и деятельности наследственного фонда</w:t>
      </w:r>
    </w:p>
    <w:p w:rsidR="002D15A8" w:rsidRDefault="002D15A8" w:rsidP="00297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15A8" w:rsidRPr="00B33674" w:rsidRDefault="002D15A8" w:rsidP="002D15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В статье рассматриваются основные проблемы теоретического и практического характера, связанные с конструкцией наследственного фонда, включаемой в российское право. Автор выделяет вопросы организационно-правовой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формы, создания и целей деятельности наследственного фонда.</w:t>
      </w:r>
    </w:p>
    <w:p w:rsidR="00B33674" w:rsidRDefault="00B33674" w:rsidP="002D15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D15A8" w:rsidRPr="002D15A8" w:rsidRDefault="002D15A8" w:rsidP="002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5A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2D15A8">
        <w:rPr>
          <w:rFonts w:ascii="Times New Roman" w:hAnsi="Times New Roman" w:cs="Times New Roman"/>
          <w:sz w:val="24"/>
          <w:szCs w:val="24"/>
          <w:lang w:val="ru-RU"/>
        </w:rPr>
        <w:t>наследственный фонд, правоспособность некоммерческих организаций, наследственное право.</w:t>
      </w:r>
    </w:p>
    <w:p w:rsidR="002D15A8" w:rsidRPr="00B33674" w:rsidRDefault="002D15A8" w:rsidP="002D15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674">
        <w:rPr>
          <w:rFonts w:ascii="Times New Roman" w:hAnsi="Times New Roman" w:cs="Times New Roman"/>
          <w:i/>
          <w:sz w:val="24"/>
          <w:szCs w:val="24"/>
        </w:rPr>
        <w:lastRenderedPageBreak/>
        <w:t>The article concerns key theoretical and practical issues regarding the institution</w:t>
      </w:r>
      <w:r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of hereditary foundation implemented in Russian law. The author outlines the issues of</w:t>
      </w:r>
      <w:r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legal form, establishment and business goals of the hereditary foundation.</w:t>
      </w:r>
    </w:p>
    <w:p w:rsidR="00B33674" w:rsidRDefault="00B33674" w:rsidP="002D15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15A8" w:rsidRDefault="002D15A8" w:rsidP="002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A8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2D15A8">
        <w:rPr>
          <w:rFonts w:ascii="Times New Roman" w:hAnsi="Times New Roman" w:cs="Times New Roman"/>
          <w:sz w:val="24"/>
          <w:szCs w:val="24"/>
        </w:rPr>
        <w:t>hereditary foundation, legal capacity of non-profit organizations,</w:t>
      </w:r>
      <w:r w:rsidRPr="002D15A8">
        <w:rPr>
          <w:rFonts w:ascii="Times New Roman" w:hAnsi="Times New Roman" w:cs="Times New Roman"/>
          <w:sz w:val="24"/>
          <w:szCs w:val="24"/>
        </w:rPr>
        <w:t xml:space="preserve"> </w:t>
      </w:r>
      <w:r w:rsidRPr="002D15A8">
        <w:rPr>
          <w:rFonts w:ascii="Times New Roman" w:hAnsi="Times New Roman" w:cs="Times New Roman"/>
          <w:sz w:val="24"/>
          <w:szCs w:val="24"/>
        </w:rPr>
        <w:t>succession law.</w:t>
      </w:r>
    </w:p>
    <w:p w:rsidR="002D15A8" w:rsidRDefault="002D15A8" w:rsidP="002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5A8" w:rsidRPr="002D15A8" w:rsidRDefault="002D15A8" w:rsidP="002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5A8">
        <w:rPr>
          <w:rFonts w:ascii="Times New Roman" w:hAnsi="Times New Roman" w:cs="Times New Roman"/>
          <w:b/>
          <w:sz w:val="24"/>
          <w:szCs w:val="24"/>
          <w:lang w:val="ru-RU"/>
        </w:rPr>
        <w:t>С.И. Коваленко,</w:t>
      </w:r>
      <w:r w:rsidRPr="002D1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аспирант кафедры международного права юридического факультета МГУ </w:t>
      </w:r>
    </w:p>
    <w:p w:rsidR="002D15A8" w:rsidRDefault="002D15A8" w:rsidP="002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15A8" w:rsidRDefault="002D15A8" w:rsidP="002D1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5A8">
        <w:rPr>
          <w:rFonts w:ascii="Times New Roman" w:hAnsi="Times New Roman" w:cs="Times New Roman"/>
          <w:b/>
          <w:sz w:val="24"/>
          <w:szCs w:val="24"/>
          <w:lang w:val="ru-RU"/>
        </w:rPr>
        <w:t>Э</w:t>
      </w:r>
      <w:r w:rsidRPr="002D15A8">
        <w:rPr>
          <w:rFonts w:ascii="Times New Roman" w:hAnsi="Times New Roman" w:cs="Times New Roman"/>
          <w:b/>
          <w:sz w:val="24"/>
          <w:szCs w:val="24"/>
          <w:lang w:val="ru-RU"/>
        </w:rPr>
        <w:t>волюционный подход Европейского</w:t>
      </w:r>
      <w:r w:rsidRPr="002D15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суда по правам человека к толкованию норм Европейской конвенции о защите</w:t>
      </w:r>
      <w:r w:rsidRPr="002D15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D15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 человека и основных свобод: теоретико-правовые основания </w:t>
      </w:r>
    </w:p>
    <w:p w:rsidR="00B33674" w:rsidRDefault="00B33674" w:rsidP="002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15A8" w:rsidRPr="00B33674" w:rsidRDefault="002D15A8" w:rsidP="002D15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В настоящей статье автор рассматривает теоретико-правовые основания используемого Европейским судом по правам человека эволюционного толкования норм Европейской Конвенции о защите прав человека и основных свобод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1950 г. Дискуссионность данной проблематики требует анализа аргументов за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и против правомерности эволюционного толкования. Автор приходит к выводу, что эволюционное толкование получило основу главным образом в объекте и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цели Конвенции, указанных в ее Преамбуле и в ст. 31 Венской конвенции о праве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международных договоров.</w:t>
      </w:r>
    </w:p>
    <w:p w:rsidR="00B33674" w:rsidRDefault="00B33674" w:rsidP="002D15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D15A8" w:rsidRDefault="002D15A8" w:rsidP="002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5A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2D15A8">
        <w:rPr>
          <w:rFonts w:ascii="Times New Roman" w:hAnsi="Times New Roman" w:cs="Times New Roman"/>
          <w:sz w:val="24"/>
          <w:szCs w:val="24"/>
          <w:lang w:val="ru-RU"/>
        </w:rPr>
        <w:t>Конвенция о защите прав человека и основных свобод,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15A8">
        <w:rPr>
          <w:rFonts w:ascii="Times New Roman" w:hAnsi="Times New Roman" w:cs="Times New Roman"/>
          <w:sz w:val="24"/>
          <w:szCs w:val="24"/>
          <w:lang w:val="ru-RU"/>
        </w:rPr>
        <w:t>Европейский суд по правам человека, толкование договора, эволюционное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15A8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2D15A8">
        <w:rPr>
          <w:rFonts w:ascii="Times New Roman" w:hAnsi="Times New Roman" w:cs="Times New Roman"/>
          <w:sz w:val="24"/>
          <w:szCs w:val="24"/>
          <w:lang w:val="ru-RU"/>
        </w:rPr>
        <w:t>эволютивное</w:t>
      </w:r>
      <w:proofErr w:type="spellEnd"/>
      <w:r w:rsidRPr="002D15A8">
        <w:rPr>
          <w:rFonts w:ascii="Times New Roman" w:hAnsi="Times New Roman" w:cs="Times New Roman"/>
          <w:sz w:val="24"/>
          <w:szCs w:val="24"/>
          <w:lang w:val="ru-RU"/>
        </w:rPr>
        <w:t>) толкование, Венская конвенция.</w:t>
      </w:r>
    </w:p>
    <w:p w:rsidR="00B33674" w:rsidRDefault="00B33674" w:rsidP="002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5A8" w:rsidRPr="00B33674" w:rsidRDefault="002D15A8" w:rsidP="002D15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674">
        <w:rPr>
          <w:rFonts w:ascii="Times New Roman" w:hAnsi="Times New Roman" w:cs="Times New Roman"/>
          <w:i/>
          <w:sz w:val="24"/>
          <w:szCs w:val="24"/>
        </w:rPr>
        <w:t>In the present article, the author considers the theoretical and legal basis for the</w:t>
      </w:r>
      <w:r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evolutionary interpretation of the European Convention on Human Rights and Fundamental</w:t>
      </w:r>
      <w:r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Freedoms of 1950 applied by the European Court of Human Rights. Controversies</w:t>
      </w:r>
      <w:r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surrounding the issue challenges us to examine arguments in favour and against</w:t>
      </w:r>
      <w:r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legitimacy of an evolutionary interpretation. The author concludes that evolutionary</w:t>
      </w:r>
      <w:r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interpretation has been based largely on the object and purpose of the Convention established</w:t>
      </w:r>
      <w:r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in its Preamble and Art. 31 of the Vienna Convention on the Law of Treaties.</w:t>
      </w:r>
    </w:p>
    <w:p w:rsidR="00B33674" w:rsidRDefault="00B33674" w:rsidP="002D15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15A8" w:rsidRDefault="002D15A8" w:rsidP="002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A8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2D15A8">
        <w:rPr>
          <w:rFonts w:ascii="Times New Roman" w:hAnsi="Times New Roman" w:cs="Times New Roman"/>
          <w:sz w:val="24"/>
          <w:szCs w:val="24"/>
        </w:rPr>
        <w:t>European Convention on Human Rights, European Court of Human</w:t>
      </w:r>
      <w:r w:rsidRPr="002D15A8">
        <w:rPr>
          <w:rFonts w:ascii="Times New Roman" w:hAnsi="Times New Roman" w:cs="Times New Roman"/>
          <w:sz w:val="24"/>
          <w:szCs w:val="24"/>
        </w:rPr>
        <w:t xml:space="preserve"> </w:t>
      </w:r>
      <w:r w:rsidRPr="002D15A8">
        <w:rPr>
          <w:rFonts w:ascii="Times New Roman" w:hAnsi="Times New Roman" w:cs="Times New Roman"/>
          <w:sz w:val="24"/>
          <w:szCs w:val="24"/>
        </w:rPr>
        <w:t>Rights, treaty interpretation, evolutionary (evolutive) interpretation, VCLT.</w:t>
      </w:r>
    </w:p>
    <w:p w:rsidR="002D15A8" w:rsidRDefault="002D15A8" w:rsidP="002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5A8" w:rsidRPr="002D15A8" w:rsidRDefault="002D15A8" w:rsidP="002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5A8">
        <w:rPr>
          <w:rFonts w:ascii="Times New Roman" w:hAnsi="Times New Roman" w:cs="Times New Roman"/>
          <w:b/>
          <w:sz w:val="24"/>
          <w:szCs w:val="24"/>
          <w:lang w:val="ru-RU"/>
        </w:rPr>
        <w:t>Л.</w:t>
      </w:r>
      <w:bookmarkStart w:id="0" w:name="_GoBack"/>
      <w:bookmarkEnd w:id="0"/>
      <w:r w:rsidRPr="002D15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А. </w:t>
      </w:r>
      <w:proofErr w:type="spellStart"/>
      <w:r w:rsidRPr="002D15A8">
        <w:rPr>
          <w:rFonts w:ascii="Times New Roman" w:hAnsi="Times New Roman" w:cs="Times New Roman"/>
          <w:b/>
          <w:sz w:val="24"/>
          <w:szCs w:val="24"/>
          <w:lang w:val="ru-RU"/>
        </w:rPr>
        <w:t>Гарслян</w:t>
      </w:r>
      <w:proofErr w:type="spellEnd"/>
      <w:r w:rsidRPr="002D15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аспирант кафедры предпринимательского права юридического факультета МГУ</w:t>
      </w:r>
    </w:p>
    <w:p w:rsidR="002D15A8" w:rsidRDefault="002D15A8" w:rsidP="002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15A8" w:rsidRPr="006B0B3F" w:rsidRDefault="002D15A8" w:rsidP="002D1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0B3F">
        <w:rPr>
          <w:rFonts w:ascii="Times New Roman" w:hAnsi="Times New Roman" w:cs="Times New Roman"/>
          <w:b/>
          <w:sz w:val="24"/>
          <w:szCs w:val="24"/>
          <w:lang w:val="ru-RU"/>
        </w:rPr>
        <w:t>Правовой режим внебиржевых деривативов в США и</w:t>
      </w:r>
      <w:r w:rsidR="006B0B3F" w:rsidRPr="006B0B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B0B3F">
        <w:rPr>
          <w:rFonts w:ascii="Times New Roman" w:hAnsi="Times New Roman" w:cs="Times New Roman"/>
          <w:b/>
          <w:sz w:val="24"/>
          <w:szCs w:val="24"/>
          <w:lang w:val="ru-RU"/>
        </w:rPr>
        <w:t>Европейском союзе</w:t>
      </w:r>
    </w:p>
    <w:p w:rsidR="006B0B3F" w:rsidRDefault="006B0B3F" w:rsidP="002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15A8" w:rsidRPr="00B33674" w:rsidRDefault="002D15A8" w:rsidP="002D15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После финансового кризиса 2008 г. США и ЕС предприняли существенные</w:t>
      </w:r>
      <w:r w:rsidR="006B0B3F"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меры по регулированию внебиржевых производных финансовых инструментов. В</w:t>
      </w:r>
      <w:r w:rsidR="006B0B3F"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настоящей статье проводится сравнительно-правовой анализ правового режима внебиржевых производных финансовых инструментов в США и Европейском</w:t>
      </w:r>
      <w:r w:rsidR="006B0B3F"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союзе. Автор приходит к выводу, что европейский подход более соответствует</w:t>
      </w:r>
      <w:r w:rsidR="006B0B3F"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своей цели и более всеобъемлющ.</w:t>
      </w:r>
    </w:p>
    <w:p w:rsidR="006B0B3F" w:rsidRPr="006B0B3F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B3F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Ключевые слова:</w:t>
      </w:r>
      <w:r w:rsidRPr="006B0B3F">
        <w:rPr>
          <w:rFonts w:ascii="Times New Roman" w:hAnsi="Times New Roman" w:cs="Times New Roman"/>
          <w:sz w:val="24"/>
          <w:szCs w:val="24"/>
          <w:lang w:val="ru-RU"/>
        </w:rPr>
        <w:t xml:space="preserve"> производные финансовые инструменты, внебиржевой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0B3F">
        <w:rPr>
          <w:rFonts w:ascii="Times New Roman" w:hAnsi="Times New Roman" w:cs="Times New Roman"/>
          <w:sz w:val="24"/>
          <w:szCs w:val="24"/>
          <w:lang w:val="ru-RU"/>
        </w:rPr>
        <w:t xml:space="preserve">рынок, Закон </w:t>
      </w:r>
      <w:proofErr w:type="spellStart"/>
      <w:r w:rsidRPr="006B0B3F">
        <w:rPr>
          <w:rFonts w:ascii="Times New Roman" w:hAnsi="Times New Roman" w:cs="Times New Roman"/>
          <w:sz w:val="24"/>
          <w:szCs w:val="24"/>
          <w:lang w:val="ru-RU"/>
        </w:rPr>
        <w:t>Додда</w:t>
      </w:r>
      <w:proofErr w:type="spellEnd"/>
      <w:r w:rsidRPr="006B0B3F">
        <w:rPr>
          <w:rFonts w:ascii="Times New Roman" w:hAnsi="Times New Roman" w:cs="Times New Roman"/>
          <w:sz w:val="24"/>
          <w:szCs w:val="24"/>
          <w:lang w:val="ru-RU"/>
        </w:rPr>
        <w:t>-Франка, EMIR.</w:t>
      </w:r>
    </w:p>
    <w:p w:rsidR="00B33674" w:rsidRDefault="00B33674" w:rsidP="006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3F" w:rsidRPr="00B33674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674">
        <w:rPr>
          <w:rFonts w:ascii="Times New Roman" w:hAnsi="Times New Roman" w:cs="Times New Roman"/>
          <w:i/>
          <w:sz w:val="24"/>
          <w:szCs w:val="24"/>
        </w:rPr>
        <w:t>After the financial crisis in 2008, the US and EU have taken significant measures in</w:t>
      </w:r>
      <w:r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regulating the OTC derivatives. This Article provides a comparative analysis of the OTC</w:t>
      </w:r>
      <w:r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derivatives legal regime in the US and EU. The author concludes that the EU approach</w:t>
      </w:r>
      <w:r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is more conforming to its purpose and more comprehensive.</w:t>
      </w:r>
    </w:p>
    <w:p w:rsidR="00B33674" w:rsidRDefault="00B33674" w:rsidP="006B0B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0B3F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3F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6B0B3F">
        <w:rPr>
          <w:rFonts w:ascii="Times New Roman" w:hAnsi="Times New Roman" w:cs="Times New Roman"/>
          <w:sz w:val="24"/>
          <w:szCs w:val="24"/>
        </w:rPr>
        <w:t xml:space="preserve"> derivatives, OTC market, Dodd-Frank Act, EMIR.</w:t>
      </w:r>
    </w:p>
    <w:p w:rsidR="006B0B3F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3F" w:rsidRPr="006B0B3F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B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В.В. Есина,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аспирантка кафедры уголовного права и криминологии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юридического факультета МГУ</w:t>
      </w:r>
    </w:p>
    <w:p w:rsidR="006B0B3F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0B3F" w:rsidRPr="00B537D9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37D9">
        <w:rPr>
          <w:rFonts w:ascii="Times New Roman" w:hAnsi="Times New Roman" w:cs="Times New Roman"/>
          <w:b/>
          <w:sz w:val="24"/>
          <w:szCs w:val="24"/>
          <w:lang w:val="ru-RU"/>
        </w:rPr>
        <w:t>Принудительные меры воспитательного</w:t>
      </w:r>
      <w:r w:rsidRPr="00B537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537D9">
        <w:rPr>
          <w:rFonts w:ascii="Times New Roman" w:hAnsi="Times New Roman" w:cs="Times New Roman"/>
          <w:b/>
          <w:sz w:val="24"/>
          <w:szCs w:val="24"/>
          <w:lang w:val="ru-RU"/>
        </w:rPr>
        <w:t>воздействия: вопросы совершенствования</w:t>
      </w:r>
      <w:r w:rsidRPr="00B537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537D9">
        <w:rPr>
          <w:rFonts w:ascii="Times New Roman" w:hAnsi="Times New Roman" w:cs="Times New Roman"/>
          <w:b/>
          <w:sz w:val="24"/>
          <w:szCs w:val="24"/>
          <w:lang w:val="ru-RU"/>
        </w:rPr>
        <w:t>уголовного законодательства</w:t>
      </w:r>
    </w:p>
    <w:p w:rsidR="006B0B3F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0B3F" w:rsidRPr="00B33674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Статья посвящена вопросам совершенствования уголовного законодательства Российской Федерации в части регулирования принудительных мер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воспитательного воздействия. Автор предлагает отказаться от термина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«принудительные» в наименовании мер, сместив акцент в сторону воспитания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и ресоциализации несовершеннолетнего, совершившего общественно опасное деяние. При разработке системы мер воспитательного воздействия предлагается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ввести принцип уголовной неответственности несовершеннолетних. Новая система мер воспитательного воздействия разработана с учетом выделения трех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возрастных групп несовершеннолетних.</w:t>
      </w:r>
    </w:p>
    <w:p w:rsidR="00B33674" w:rsidRDefault="00B33674" w:rsidP="006B0B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B0B3F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B3F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6B0B3F">
        <w:rPr>
          <w:rFonts w:ascii="Times New Roman" w:hAnsi="Times New Roman" w:cs="Times New Roman"/>
          <w:sz w:val="24"/>
          <w:szCs w:val="24"/>
          <w:lang w:val="ru-RU"/>
        </w:rPr>
        <w:t xml:space="preserve"> уголовное право, меры воспитательного воздействия,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0B3F">
        <w:rPr>
          <w:rFonts w:ascii="Times New Roman" w:hAnsi="Times New Roman" w:cs="Times New Roman"/>
          <w:sz w:val="24"/>
          <w:szCs w:val="24"/>
          <w:lang w:val="ru-RU"/>
        </w:rPr>
        <w:t>несовершеннолетние, возрастные группы, воспитательные меры, воспитательные санкции.</w:t>
      </w:r>
    </w:p>
    <w:p w:rsidR="00B33674" w:rsidRDefault="00B33674" w:rsidP="006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3F" w:rsidRPr="00B33674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674">
        <w:rPr>
          <w:rFonts w:ascii="Times New Roman" w:hAnsi="Times New Roman" w:cs="Times New Roman"/>
          <w:i/>
          <w:sz w:val="24"/>
          <w:szCs w:val="24"/>
        </w:rPr>
        <w:t>The article is devoted to the improvement of the criminal legislation of the Russian</w:t>
      </w:r>
      <w:r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 xml:space="preserve">Federation </w:t>
      </w:r>
      <w:proofErr w:type="gramStart"/>
      <w:r w:rsidRPr="00B33674">
        <w:rPr>
          <w:rFonts w:ascii="Times New Roman" w:hAnsi="Times New Roman" w:cs="Times New Roman"/>
          <w:i/>
          <w:sz w:val="24"/>
          <w:szCs w:val="24"/>
        </w:rPr>
        <w:t>with regard to</w:t>
      </w:r>
      <w:proofErr w:type="gramEnd"/>
      <w:r w:rsidRPr="00B33674">
        <w:rPr>
          <w:rFonts w:ascii="Times New Roman" w:hAnsi="Times New Roman" w:cs="Times New Roman"/>
          <w:i/>
          <w:sz w:val="24"/>
          <w:szCs w:val="24"/>
        </w:rPr>
        <w:t xml:space="preserve"> the regulation of compulsory educational measures. The</w:t>
      </w:r>
      <w:r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author proposes to abandon the term «compulsory» in the name of measures, shifting</w:t>
      </w:r>
      <w:r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the emphasis towards the upbringing and resocialization of a minor who has committed</w:t>
      </w:r>
      <w:r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a generally dangerous act. When developing a system of educational measures, it is</w:t>
      </w:r>
      <w:r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proposed to introduce the principle of criminal non-liability of minors. A new system of</w:t>
      </w:r>
      <w:r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 xml:space="preserve">educational measures has been developed </w:t>
      </w:r>
      <w:proofErr w:type="gramStart"/>
      <w:r w:rsidRPr="00B33674">
        <w:rPr>
          <w:rFonts w:ascii="Times New Roman" w:hAnsi="Times New Roman" w:cs="Times New Roman"/>
          <w:i/>
          <w:sz w:val="24"/>
          <w:szCs w:val="24"/>
        </w:rPr>
        <w:t>taking into account</w:t>
      </w:r>
      <w:proofErr w:type="gramEnd"/>
      <w:r w:rsidRPr="00B33674">
        <w:rPr>
          <w:rFonts w:ascii="Times New Roman" w:hAnsi="Times New Roman" w:cs="Times New Roman"/>
          <w:i/>
          <w:sz w:val="24"/>
          <w:szCs w:val="24"/>
        </w:rPr>
        <w:t xml:space="preserve"> the allocation of three age</w:t>
      </w:r>
      <w:r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groups of minors.</w:t>
      </w:r>
    </w:p>
    <w:p w:rsidR="00B33674" w:rsidRDefault="00B33674" w:rsidP="006B0B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0B3F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3F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6B0B3F">
        <w:rPr>
          <w:rFonts w:ascii="Times New Roman" w:hAnsi="Times New Roman" w:cs="Times New Roman"/>
          <w:sz w:val="24"/>
          <w:szCs w:val="24"/>
        </w:rPr>
        <w:t xml:space="preserve"> criminal law, measures of educational influence, minors, age groups,</w:t>
      </w:r>
      <w:r w:rsidRPr="006B0B3F">
        <w:rPr>
          <w:rFonts w:ascii="Times New Roman" w:hAnsi="Times New Roman" w:cs="Times New Roman"/>
          <w:sz w:val="24"/>
          <w:szCs w:val="24"/>
        </w:rPr>
        <w:t xml:space="preserve"> </w:t>
      </w:r>
      <w:r w:rsidRPr="006B0B3F">
        <w:rPr>
          <w:rFonts w:ascii="Times New Roman" w:hAnsi="Times New Roman" w:cs="Times New Roman"/>
          <w:sz w:val="24"/>
          <w:szCs w:val="24"/>
        </w:rPr>
        <w:t>educational measures, educational sanctions.</w:t>
      </w:r>
    </w:p>
    <w:p w:rsidR="006B0B3F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3F" w:rsidRPr="006B0B3F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B3F">
        <w:rPr>
          <w:rFonts w:ascii="Times New Roman" w:hAnsi="Times New Roman" w:cs="Times New Roman"/>
          <w:b/>
          <w:sz w:val="24"/>
          <w:szCs w:val="24"/>
          <w:lang w:val="ru-RU"/>
        </w:rPr>
        <w:t>Н.М. Кириллова,</w:t>
      </w:r>
      <w:r w:rsidRPr="006B0B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аспирантка кафедры уголовного права и криминологии юридического факультета МГУ</w:t>
      </w:r>
    </w:p>
    <w:p w:rsidR="006B0B3F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0B3F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0B3F">
        <w:rPr>
          <w:rFonts w:ascii="Times New Roman" w:hAnsi="Times New Roman" w:cs="Times New Roman"/>
          <w:b/>
          <w:sz w:val="24"/>
          <w:szCs w:val="24"/>
          <w:lang w:val="ru-RU"/>
        </w:rPr>
        <w:t>Негативный контент в информационно-телекоммуникационной сети Интернет: проблемы определения и классификации</w:t>
      </w:r>
    </w:p>
    <w:p w:rsidR="006B0B3F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0B3F" w:rsidRPr="00B33674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Статья посвящена проблемам ответственности за размещение негативной и противоправной информации в информационно-коммуникационной сети</w:t>
      </w:r>
      <w:r w:rsidR="00B537D9"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Интернет. Автором затрагиваются вопросы правового определения информационного содержания сайта в сети Интернет, а также перечня незаконной</w:t>
      </w:r>
      <w:r w:rsidR="00B537D9"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информации. В статье на примере зарубежного опыта обосновывается необходимость использования понятия «контент» по отношению к информации, размещаемой в пространстве сети Интернет (сайте, блоге, форуме, социальных</w:t>
      </w:r>
      <w:r w:rsidR="00B537D9"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сетях и др.). На основе проведенного анализа зарубежного и отечественного законодательства в сфере компьютерной информации и существующих классификаций основных видов «контента», автор предлагает классификацию «</w:t>
      </w:r>
      <w:proofErr w:type="spellStart"/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контентов</w:t>
      </w:r>
      <w:proofErr w:type="spellEnd"/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», а также приводит перечень информации, которую можно отнести к</w:t>
      </w:r>
      <w:r w:rsidR="00B537D9" w:rsidRPr="00B33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  <w:lang w:val="ru-RU"/>
        </w:rPr>
        <w:t>«незаконному контенту».</w:t>
      </w:r>
    </w:p>
    <w:p w:rsidR="00B33674" w:rsidRDefault="00B33674" w:rsidP="006B0B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B0B3F" w:rsidRPr="00B537D9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7D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6B0B3F">
        <w:rPr>
          <w:rFonts w:ascii="Times New Roman" w:hAnsi="Times New Roman" w:cs="Times New Roman"/>
          <w:sz w:val="24"/>
          <w:szCs w:val="24"/>
          <w:lang w:val="ru-RU"/>
        </w:rPr>
        <w:t>контент, незаконный контент, вредный контент, данные контента, информация, компьютерная информация, Интернет, социальные сети, порнография, детская порнография, терроризм, экстремизм,</w:t>
      </w:r>
      <w:r w:rsidR="00B53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0B3F">
        <w:rPr>
          <w:rFonts w:ascii="Times New Roman" w:hAnsi="Times New Roman" w:cs="Times New Roman"/>
          <w:sz w:val="24"/>
          <w:szCs w:val="24"/>
          <w:lang w:val="ru-RU"/>
        </w:rPr>
        <w:t>зарубежное</w:t>
      </w:r>
      <w:r w:rsidRPr="00B53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0B3F">
        <w:rPr>
          <w:rFonts w:ascii="Times New Roman" w:hAnsi="Times New Roman" w:cs="Times New Roman"/>
          <w:sz w:val="24"/>
          <w:szCs w:val="24"/>
          <w:lang w:val="ru-RU"/>
        </w:rPr>
        <w:t>законодательство</w:t>
      </w:r>
      <w:r w:rsidRPr="00B537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3674" w:rsidRPr="00B33674" w:rsidRDefault="00B33674" w:rsidP="006B0B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0B3F" w:rsidRPr="00B537D9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74">
        <w:rPr>
          <w:rFonts w:ascii="Times New Roman" w:hAnsi="Times New Roman" w:cs="Times New Roman"/>
          <w:i/>
          <w:sz w:val="24"/>
          <w:szCs w:val="24"/>
        </w:rPr>
        <w:t>The article is devoted to problems of responsibility for placing negative and illegal</w:t>
      </w:r>
      <w:r w:rsidR="00B537D9"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information on the Internet. The author raises issues of legal definition of the information</w:t>
      </w:r>
      <w:r w:rsidR="00B537D9"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content of the site on the Internet, as well as the list of illegal information. On the</w:t>
      </w:r>
      <w:r w:rsidR="00B537D9"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 xml:space="preserve">example of foreign </w:t>
      </w:r>
      <w:proofErr w:type="gramStart"/>
      <w:r w:rsidRPr="00B33674">
        <w:rPr>
          <w:rFonts w:ascii="Times New Roman" w:hAnsi="Times New Roman" w:cs="Times New Roman"/>
          <w:i/>
          <w:sz w:val="24"/>
          <w:szCs w:val="24"/>
        </w:rPr>
        <w:t>experience</w:t>
      </w:r>
      <w:proofErr w:type="gramEnd"/>
      <w:r w:rsidRPr="00B33674">
        <w:rPr>
          <w:rFonts w:ascii="Times New Roman" w:hAnsi="Times New Roman" w:cs="Times New Roman"/>
          <w:i/>
          <w:sz w:val="24"/>
          <w:szCs w:val="24"/>
        </w:rPr>
        <w:t xml:space="preserve"> the author justifies the need of using the notion “content”</w:t>
      </w:r>
      <w:r w:rsidR="00B537D9"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in relation to information placed on the Internet (site, blog, forum, social networks,</w:t>
      </w:r>
      <w:r w:rsidR="00B537D9"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etc.). Based on the analysis of foreign and domestic legislation in the field of computer</w:t>
      </w:r>
      <w:r w:rsidR="00B537D9"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information and existing classifications of the main types of «content», the author suggests</w:t>
      </w:r>
      <w:r w:rsidR="00B537D9"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classification of “contents”, and also offers lists of information that can be referred</w:t>
      </w:r>
      <w:r w:rsidR="00B537D9" w:rsidRPr="00B33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i/>
          <w:sz w:val="24"/>
          <w:szCs w:val="24"/>
        </w:rPr>
        <w:t>as “illegal content”.</w:t>
      </w:r>
    </w:p>
    <w:p w:rsidR="00B33674" w:rsidRDefault="00B33674" w:rsidP="006B0B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0B3F" w:rsidRPr="00B537D9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7D9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6B0B3F">
        <w:rPr>
          <w:rFonts w:ascii="Times New Roman" w:hAnsi="Times New Roman" w:cs="Times New Roman"/>
          <w:sz w:val="24"/>
          <w:szCs w:val="24"/>
        </w:rPr>
        <w:t>content, illegal content, harmful content, content data, information,</w:t>
      </w:r>
      <w:r w:rsidR="00B537D9" w:rsidRPr="00B537D9">
        <w:rPr>
          <w:rFonts w:ascii="Times New Roman" w:hAnsi="Times New Roman" w:cs="Times New Roman"/>
          <w:sz w:val="24"/>
          <w:szCs w:val="24"/>
        </w:rPr>
        <w:t xml:space="preserve"> </w:t>
      </w:r>
      <w:r w:rsidRPr="006B0B3F">
        <w:rPr>
          <w:rFonts w:ascii="Times New Roman" w:hAnsi="Times New Roman" w:cs="Times New Roman"/>
          <w:sz w:val="24"/>
          <w:szCs w:val="24"/>
        </w:rPr>
        <w:t>computer information, Internet, social networks, pornography, child pornography,</w:t>
      </w:r>
      <w:r w:rsidR="00B537D9" w:rsidRPr="00B537D9">
        <w:rPr>
          <w:rFonts w:ascii="Times New Roman" w:hAnsi="Times New Roman" w:cs="Times New Roman"/>
          <w:sz w:val="24"/>
          <w:szCs w:val="24"/>
        </w:rPr>
        <w:t xml:space="preserve"> </w:t>
      </w:r>
      <w:r w:rsidRPr="00B537D9">
        <w:rPr>
          <w:rFonts w:ascii="Times New Roman" w:hAnsi="Times New Roman" w:cs="Times New Roman"/>
          <w:sz w:val="24"/>
          <w:szCs w:val="24"/>
        </w:rPr>
        <w:t>terrorism, extremism, foreign legislation.</w:t>
      </w:r>
    </w:p>
    <w:p w:rsidR="00B138A6" w:rsidRPr="001628F7" w:rsidRDefault="00B138A6" w:rsidP="0081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sectPr w:rsidR="00B138A6" w:rsidRPr="001628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7D"/>
    <w:rsid w:val="00011986"/>
    <w:rsid w:val="00020C44"/>
    <w:rsid w:val="00040FAA"/>
    <w:rsid w:val="00041D9B"/>
    <w:rsid w:val="0004656D"/>
    <w:rsid w:val="000468D5"/>
    <w:rsid w:val="000575A3"/>
    <w:rsid w:val="00094A79"/>
    <w:rsid w:val="000D7D1A"/>
    <w:rsid w:val="00117044"/>
    <w:rsid w:val="00121AAA"/>
    <w:rsid w:val="00132FA1"/>
    <w:rsid w:val="001628F7"/>
    <w:rsid w:val="00163605"/>
    <w:rsid w:val="001B351B"/>
    <w:rsid w:val="00200B4E"/>
    <w:rsid w:val="002578E0"/>
    <w:rsid w:val="002917C7"/>
    <w:rsid w:val="002972C0"/>
    <w:rsid w:val="002A43EF"/>
    <w:rsid w:val="002C56F1"/>
    <w:rsid w:val="002D15A8"/>
    <w:rsid w:val="002D4A7C"/>
    <w:rsid w:val="00334CF7"/>
    <w:rsid w:val="003C1349"/>
    <w:rsid w:val="003C485A"/>
    <w:rsid w:val="003E028C"/>
    <w:rsid w:val="0041777B"/>
    <w:rsid w:val="004A3297"/>
    <w:rsid w:val="004E0064"/>
    <w:rsid w:val="0052501C"/>
    <w:rsid w:val="005379FA"/>
    <w:rsid w:val="00542501"/>
    <w:rsid w:val="00551DFF"/>
    <w:rsid w:val="005734A5"/>
    <w:rsid w:val="0057765B"/>
    <w:rsid w:val="00587AC5"/>
    <w:rsid w:val="005D07A8"/>
    <w:rsid w:val="005E23C8"/>
    <w:rsid w:val="00602221"/>
    <w:rsid w:val="0060720B"/>
    <w:rsid w:val="0062793D"/>
    <w:rsid w:val="00654853"/>
    <w:rsid w:val="006666B4"/>
    <w:rsid w:val="006B0B3F"/>
    <w:rsid w:val="00700213"/>
    <w:rsid w:val="00702F94"/>
    <w:rsid w:val="007072EB"/>
    <w:rsid w:val="00711F8E"/>
    <w:rsid w:val="007B3A7A"/>
    <w:rsid w:val="007F750C"/>
    <w:rsid w:val="00801C25"/>
    <w:rsid w:val="00815CFD"/>
    <w:rsid w:val="008225B5"/>
    <w:rsid w:val="00885983"/>
    <w:rsid w:val="008A7E3E"/>
    <w:rsid w:val="00904493"/>
    <w:rsid w:val="00906B38"/>
    <w:rsid w:val="009151F1"/>
    <w:rsid w:val="00932E66"/>
    <w:rsid w:val="00934FCF"/>
    <w:rsid w:val="00967529"/>
    <w:rsid w:val="00993E1C"/>
    <w:rsid w:val="009A7B6B"/>
    <w:rsid w:val="009E2CF3"/>
    <w:rsid w:val="00A15428"/>
    <w:rsid w:val="00A252D7"/>
    <w:rsid w:val="00AA12D9"/>
    <w:rsid w:val="00AA7723"/>
    <w:rsid w:val="00AD264E"/>
    <w:rsid w:val="00B138A6"/>
    <w:rsid w:val="00B33674"/>
    <w:rsid w:val="00B524F9"/>
    <w:rsid w:val="00B537D9"/>
    <w:rsid w:val="00B560CC"/>
    <w:rsid w:val="00BB7690"/>
    <w:rsid w:val="00BC0727"/>
    <w:rsid w:val="00C41462"/>
    <w:rsid w:val="00C520B7"/>
    <w:rsid w:val="00C77EE3"/>
    <w:rsid w:val="00CB53A7"/>
    <w:rsid w:val="00CE5D22"/>
    <w:rsid w:val="00CF5C46"/>
    <w:rsid w:val="00D369A1"/>
    <w:rsid w:val="00DC3BFC"/>
    <w:rsid w:val="00DD59ED"/>
    <w:rsid w:val="00E04B00"/>
    <w:rsid w:val="00E0538C"/>
    <w:rsid w:val="00E062CF"/>
    <w:rsid w:val="00E21BE2"/>
    <w:rsid w:val="00E75850"/>
    <w:rsid w:val="00EA31FB"/>
    <w:rsid w:val="00EA7167"/>
    <w:rsid w:val="00EC3860"/>
    <w:rsid w:val="00EE0745"/>
    <w:rsid w:val="00F03D72"/>
    <w:rsid w:val="00F05828"/>
    <w:rsid w:val="00F26231"/>
    <w:rsid w:val="00F4097D"/>
    <w:rsid w:val="00F40F87"/>
    <w:rsid w:val="00F43719"/>
    <w:rsid w:val="00F60067"/>
    <w:rsid w:val="00F66A22"/>
    <w:rsid w:val="00FB4CA7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2E71"/>
  <w15:chartTrackingRefBased/>
  <w15:docId w15:val="{DF07BD1C-9F27-44BE-98BE-9166B08F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2095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Mazurkov</dc:creator>
  <cp:keywords/>
  <dc:description/>
  <cp:lastModifiedBy>Tatiana</cp:lastModifiedBy>
  <cp:revision>21</cp:revision>
  <dcterms:created xsi:type="dcterms:W3CDTF">2017-04-21T09:27:00Z</dcterms:created>
  <dcterms:modified xsi:type="dcterms:W3CDTF">2018-08-27T18:37:00Z</dcterms:modified>
</cp:coreProperties>
</file>