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F4097D">
        <w:rPr>
          <w:rFonts w:ascii="Times New Roman" w:hAnsi="Times New Roman" w:cs="Times New Roman"/>
          <w:sz w:val="24"/>
          <w:szCs w:val="24"/>
          <w:lang w:val="ru-RU"/>
        </w:rPr>
        <w:t xml:space="preserve">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4A2E8D14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1F50D3">
        <w:rPr>
          <w:rFonts w:ascii="Times New Roman" w:hAnsi="Times New Roman" w:cs="Times New Roman"/>
          <w:b/>
          <w:sz w:val="24"/>
          <w:szCs w:val="24"/>
        </w:rPr>
        <w:t>1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</w:t>
      </w:r>
      <w:r w:rsidR="001F50D3">
        <w:rPr>
          <w:rFonts w:ascii="Times New Roman" w:hAnsi="Times New Roman" w:cs="Times New Roman"/>
          <w:b/>
          <w:sz w:val="24"/>
          <w:szCs w:val="24"/>
        </w:rPr>
        <w:t>20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1F50D3">
        <w:rPr>
          <w:rFonts w:ascii="Times New Roman" w:hAnsi="Times New Roman" w:cs="Times New Roman"/>
          <w:b/>
          <w:sz w:val="24"/>
          <w:szCs w:val="24"/>
          <w:lang w:val="ru-RU"/>
        </w:rPr>
        <w:t>январь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1F50D3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13412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1F50D3">
        <w:rPr>
          <w:rFonts w:ascii="Times New Roman" w:hAnsi="Times New Roman" w:cs="Times New Roman"/>
          <w:b/>
          <w:sz w:val="24"/>
          <w:szCs w:val="24"/>
          <w:lang w:val="ru-RU"/>
        </w:rPr>
        <w:t>вр</w:t>
      </w:r>
      <w:r w:rsidR="0013412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1F50D3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</w:p>
    <w:p w14:paraId="76E70DAE" w14:textId="1904CF1D" w:rsidR="001F50D3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AD4A79" w14:textId="694AEEDE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С.А. </w:t>
      </w:r>
      <w:proofErr w:type="spellStart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Авакьян</w:t>
      </w:r>
      <w:proofErr w:type="spellEnd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юридических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наук, профессор, заслуженный деятель науки РФ, заслуженный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юрист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РФ, заведующий кафедрой конституционного и муниципального права юридического факультета МГУ</w:t>
      </w:r>
    </w:p>
    <w:p w14:paraId="261D650A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E618AA" w14:textId="3CC2D295" w:rsidR="003F4F93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овет</w:t>
      </w: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</w:t>
      </w:r>
      <w:r w:rsid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едерации</w:t>
      </w: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четверть века проблем формирования палаты</w:t>
      </w:r>
    </w:p>
    <w:p w14:paraId="2BF3C046" w14:textId="77777777" w:rsidR="002E48E4" w:rsidRP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8A4B99" w14:textId="51291C56" w:rsidR="001F50D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Федерации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—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палата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Федерального Собрания, парламента Российской Федерации.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анализирует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процедуры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формирования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палаты — в прошлом и в настоящее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время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Обращается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внимание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что в данном процессе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превалирует тенденция направлять в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Федерации федеральных и региональных функционеров. Автор предлагает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перейти к избранию членов Совета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Федерации населением субъектов Российской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Федерации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3AD26EAA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09B67B9" w14:textId="6B5C0CBB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Совет Федерации, Федеральное Собрание Российской</w:t>
      </w:r>
      <w:r w:rsid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Федерации, член Совета Федерации,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законы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о порядке формирования Совета Федерации.</w:t>
      </w:r>
    </w:p>
    <w:p w14:paraId="3FAEDC20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83BF5A6" w14:textId="33E3CA96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Federation Council is the chamber of the Federal Assembly of Russia (parliament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of the Russian Federation). The author analyzes the procedures for the formation of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 chamber — in the past and at present. Attention is drawn to the fact that in this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process the sending of federal and regional functionaries to the Council of the Federation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is prevailing. The author suggests proceeding to the election of members of the Federation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Council by the population of the constituent entities of the Russian Federation.</w:t>
      </w:r>
    </w:p>
    <w:p w14:paraId="530FA752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3CE9553" w14:textId="62741410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Federation Council, Federal Assembly of the Russian Federation,</w:t>
      </w:r>
      <w:r w:rsidR="002E48E4" w:rsidRPr="002E48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member of the Federation Council, laws on the procedure of formation of the Federation</w:t>
      </w:r>
      <w:r w:rsidR="002E48E4" w:rsidRPr="002E48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Council.</w:t>
      </w:r>
    </w:p>
    <w:p w14:paraId="1F646A2B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6BAD9887" w14:textId="1A3286A7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Проблемы криминалистики</w:t>
      </w:r>
    </w:p>
    <w:p w14:paraId="2A95CDF9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35E33D" w14:textId="5377605D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Е.Е. Центров,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юридических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наук, заслуженный профессор МГУ,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профессор кафедры криминалистики юридического факультета МГУ</w:t>
      </w:r>
      <w:r w:rsidRPr="002E48E4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11</w:t>
      </w:r>
    </w:p>
    <w:p w14:paraId="3A80B794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2DF585" w14:textId="294EA344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Оценка достоверности признания лицом</w:t>
      </w:r>
      <w:r w:rsid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своей вины в целях его отграничения</w:t>
      </w:r>
    </w:p>
    <w:p w14:paraId="20F412D7" w14:textId="2703BC51" w:rsidR="003F4F93" w:rsidRPr="002E48E4" w:rsidRDefault="003F4F93" w:rsidP="002E48E4">
      <w:pPr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самооговора</w:t>
      </w:r>
      <w:proofErr w:type="spellEnd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оговора</w:t>
      </w:r>
      <w:proofErr w:type="spellEnd"/>
    </w:p>
    <w:p w14:paraId="768A54C1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5BE5628D" w14:textId="015C68DC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рассматриваются обстоятельства, при которых возможно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появление самооговора и оговора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стороны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лица, привлеченного к уголовной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ответственности.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Приводятся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основные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критерии, позволяющие оценить достоверность признания лицом своей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вины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совершенном преступлении и отграничить истинное признание от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ложного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При оценке полученного признания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обязательно учитывается, насколько полно и точно обвиняемый (подозреваемый) осведомлен об обстоятельствах, деталях происшедшего криминального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события.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Кроме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того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нужно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учесть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возможный наводящий характер использованных в процессе изобличения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лица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совершенном преступлении различных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следственных действий, предъявления вещественных доказательств и иных</w:t>
      </w:r>
      <w:r w:rsid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фактических сведений.</w:t>
      </w:r>
    </w:p>
    <w:p w14:paraId="248A804F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55C454B" w14:textId="09536B0A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признание своей вины, самооговор, оговор, доказательства, проверка показаний на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месте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насилие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пытка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495D816E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34EA6BAD" w14:textId="05C7DB4F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discuses the circumstances in which the appearance of self-incrimination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and reservation on the part of the person held criminally liable. The main criteria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are given that allow one to assess the reliability of a person’s confession of guilt in a crime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and to distinguish between true and false confessions. When assessing the confession obtained,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it is necessary to </w:t>
      </w:r>
      <w:proofErr w:type="gram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take into account</w:t>
      </w:r>
      <w:proofErr w:type="gram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how fully and accurately the accused (suspect)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is aware of the circumstances and details of the criminal event. In addition, it is necessary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to </w:t>
      </w:r>
      <w:proofErr w:type="gram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take into account</w:t>
      </w:r>
      <w:proofErr w:type="gram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the possible suggestive nature of the various investigative actions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used in the process of incriminating a person of a committed crime, presenting material</w:t>
      </w:r>
      <w:r w:rsidR="002E48E4"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evidence and other factual information.</w:t>
      </w:r>
    </w:p>
    <w:p w14:paraId="144A170E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7322770" w14:textId="14BB89A3" w:rsidR="003F4F93" w:rsidRPr="002E48E4" w:rsidRDefault="003F4F93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>Keywords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: confession, self-incrimination, slander, evidence, on-site verification,</w:t>
      </w:r>
      <w:r w:rsidR="002E48E4" w:rsidRPr="002E48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violence,</w:t>
      </w:r>
      <w:r w:rsidR="002E48E4" w:rsidRPr="002E48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torture.</w:t>
      </w:r>
    </w:p>
    <w:p w14:paraId="70765E8D" w14:textId="77777777" w:rsidR="002E48E4" w:rsidRDefault="002E48E4" w:rsidP="002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5798AA09" w14:textId="799BFE44" w:rsidR="003F4F93" w:rsidRPr="002E48E4" w:rsidRDefault="003F4F93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Вопросы уголовного права и </w:t>
      </w:r>
      <w:proofErr w:type="spellStart"/>
      <w:r w:rsidRPr="002E48E4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процесса</w:t>
      </w:r>
      <w:proofErr w:type="spellEnd"/>
    </w:p>
    <w:p w14:paraId="585A8261" w14:textId="77777777" w:rsidR="002E48E4" w:rsidRDefault="002E48E4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0F6CF6" w14:textId="4E47BD42" w:rsidR="003F4F93" w:rsidRPr="002E48E4" w:rsidRDefault="003F4F93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Р.А. </w:t>
      </w:r>
      <w:proofErr w:type="spellStart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Забавко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кандидат юридических наук, доцент кафедры уголовного права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Юридического института Иркутского государственного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университета</w:t>
      </w:r>
      <w:r w:rsidRPr="002E48E4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</w:p>
    <w:p w14:paraId="41C3B853" w14:textId="77777777" w:rsidR="002E48E4" w:rsidRDefault="002E48E4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B8A355" w14:textId="75F684B9" w:rsidR="003F4F93" w:rsidRDefault="003F4F93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олисемия в уголовном законодательстве </w:t>
      </w: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оссии</w:t>
      </w:r>
    </w:p>
    <w:p w14:paraId="0D4E92D0" w14:textId="77777777" w:rsidR="002E48E4" w:rsidRPr="002E48E4" w:rsidRDefault="002E48E4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142B726" w14:textId="2051B31D" w:rsidR="003F4F93" w:rsidRPr="002E48E4" w:rsidRDefault="003F4F93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Несмотря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требование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четкости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терминологии, текст уголовного закона не лишен полисемии —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способности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слова, словосочетания или другого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конструктивного объекта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иметь несколько значений. В статье проанализированы наиболее проблемные, по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мнению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автора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явления полисемии в уголовном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законодательстве России. Рассмотрены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некоторые аспекты межотраслевой</w:t>
      </w:r>
      <w:r w:rsid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полисемии.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Выявлены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термины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имеющие двусмысленное или неопределенное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толкование, проиллюстрированы реальные проблемы правоприменительной деятельности, связанные с полисемией в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уголовном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праве, названы основные причины полисемии, а также указаны пути преодоления проблемы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двойственности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толкования уголовно-правовых терминов.</w:t>
      </w:r>
    </w:p>
    <w:p w14:paraId="39B744B5" w14:textId="77777777" w:rsidR="00551CB4" w:rsidRDefault="00551CB4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0713A73" w14:textId="3F1C8FE5" w:rsidR="003F4F93" w:rsidRPr="00551CB4" w:rsidRDefault="003F4F93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полисемия, деяние, вина, потерпевший, транспортное</w:t>
      </w:r>
      <w:r w:rsidR="00551CB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51CB4">
        <w:rPr>
          <w:rFonts w:ascii="Times New Roman" w:eastAsia="Newton-Regular" w:hAnsi="Times New Roman" w:cs="Times New Roman"/>
          <w:sz w:val="24"/>
          <w:szCs w:val="24"/>
          <w:lang w:val="ru-RU"/>
        </w:rPr>
        <w:t>средство.</w:t>
      </w:r>
    </w:p>
    <w:p w14:paraId="4F0DB087" w14:textId="77777777" w:rsidR="00551CB4" w:rsidRDefault="00551CB4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CDB544B" w14:textId="783887A7" w:rsidR="003F4F93" w:rsidRPr="002E48E4" w:rsidRDefault="003F4F93" w:rsidP="0055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Despite the requirement for clarity of terminology, the text of the criminal law has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polysemy — the ability of a word, phrase, or other constructive object to have several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meanings. The article analyzes the most problematic, according to the author, phenomena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of polysemy in the criminal legislation of Russia. Some aspects of interbranch polysemy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are considered. The terms with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ambiguous or undefined definitions are identified,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 real problems of law enforcement related to polysemy in criminal law are fixed, the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main causes of the polysemy are identified, and ways to overcome the duality of interpretation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of criminal law terms are indicated.</w:t>
      </w:r>
    </w:p>
    <w:p w14:paraId="75D58AFF" w14:textId="77777777" w:rsidR="00551CB4" w:rsidRDefault="00551CB4" w:rsidP="00551CB4">
      <w:pPr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24A3C4F" w14:textId="346BCF10" w:rsidR="003F4F93" w:rsidRPr="002E48E4" w:rsidRDefault="003F4F93" w:rsidP="00551CB4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polysemy, act, criminal fault, victim, transport.</w:t>
      </w:r>
    </w:p>
    <w:p w14:paraId="63996CD0" w14:textId="77777777" w:rsidR="00551CB4" w:rsidRDefault="00551CB4" w:rsidP="003F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00C10A" w14:textId="6783F698" w:rsidR="003F4F93" w:rsidRPr="00551CB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2E48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М.А.</w:t>
      </w:r>
      <w:proofErr w:type="gramEnd"/>
      <w:r w:rsidRPr="002E48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Фадеева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преподаватель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кафедры гуманитарных и социально-экономических дисциплин Военно-медицинской академии имени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С.М. Кирова, соискатель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кафедры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уголовного права и криминологии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юридического факультета МГУ</w:t>
      </w:r>
      <w:r w:rsidRPr="002E48E4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11</w:t>
      </w:r>
    </w:p>
    <w:p w14:paraId="022B8591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6F65CA" w14:textId="7B2FF512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E48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Квалификаци</w:t>
      </w:r>
      <w:r w:rsidR="00551C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2E48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преступлений,</w:t>
      </w:r>
      <w:r w:rsidR="00551C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совершенных медицинскими работниками,</w:t>
      </w:r>
      <w:r w:rsidR="00551C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ст. 238 УК РФ: вопросы теории и практики</w:t>
      </w:r>
    </w:p>
    <w:p w14:paraId="2EB1DEB4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725C3BC2" w14:textId="6CDF8391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настоящей статье поднимается вопрос о целесообразности применения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ст. 238 УК РФ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квалификации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преступлений, совершенных медицинскими работниками в сфере их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профессиональной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деятельности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. Автор рассматривает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отдельные вопросы теории квалификации преступлений, обращаясь к трудам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известных ученых. В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статье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также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исследованы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официальные акты высших судебных органов, дан анализ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правоприменительной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практики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14:paraId="55BA8EAA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60CE815B" w14:textId="69312DDF" w:rsidR="003F4F93" w:rsidRPr="00551CB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Ключевые слова: </w:t>
      </w:r>
      <w:r w:rsidRPr="002E48E4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состав преступления, формальный состав, материальный состав, возможность наступления вреда, субъективная сторона престу</w:t>
      </w:r>
      <w:r w:rsidRPr="00551CB4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пления, преступное последствие.</w:t>
      </w:r>
    </w:p>
    <w:p w14:paraId="56B7CE84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177367E" w14:textId="6B718F8A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raises the question of the appropriateness of applying Art. 238 of the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Criminal Code of the Russian Federation for the qualification of crimes committed by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medical workers in the field of professional activity. The author examines certain issues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of the theory of qualification of crimes, referring to the works of famous scientists. The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article also examines the official acts of the highest judicial bodies, analyzes the law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enforcement practice.</w:t>
      </w:r>
    </w:p>
    <w:p w14:paraId="558DC3F6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D362EB1" w14:textId="32CF33AE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corpus delicti, formal corpus delicti, material corpus delicti, possibility</w:t>
      </w:r>
      <w:r w:rsidR="00551CB4" w:rsidRPr="00551CB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of harm, subjective side of the crime, criminal consequence.</w:t>
      </w:r>
    </w:p>
    <w:p w14:paraId="2A01A509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698864AD" w14:textId="5346CD20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Проблемы конституционного</w:t>
      </w:r>
      <w:r w:rsidR="00551CB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и муниципального права</w:t>
      </w:r>
    </w:p>
    <w:p w14:paraId="2B5FBC9C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65FE476A" w14:textId="34184554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E48E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Д.Г.</w:t>
      </w:r>
      <w:proofErr w:type="gramEnd"/>
      <w:r w:rsidRPr="002E48E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Шустров,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кандидат юридических наук, доцент кафедры конституционного и муниципального права юридического факультета МГУ</w:t>
      </w:r>
    </w:p>
    <w:p w14:paraId="07226FCB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14:paraId="51586145" w14:textId="39808D6B" w:rsidR="003F4F93" w:rsidRPr="00551CB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551CB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Понятие толкования</w:t>
      </w:r>
      <w:r w:rsidR="00551CB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51CB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 конституционном праве</w:t>
      </w:r>
    </w:p>
    <w:p w14:paraId="00B275DA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C9CC47F" w14:textId="069566BA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Понятие толкования в конституционном праве охватывает широкий круг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значений, каждое из которых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связывает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определение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смысла текста с решением той или иной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задачи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выполнением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определенной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функции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Определить смысл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текста означает не только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познать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описать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объяснить, решить и применить, но также соблюдать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интерпретационные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правила, быть участником или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наблюдателем процесса толкования,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вступать в интерпретационный диалог, а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ряде случаев конкретизировать,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развивать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даже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формировать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11ABEA5A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071E38B" w14:textId="39342AFE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толкование, интерпретация, конституционное право,</w:t>
      </w:r>
      <w:r w:rsidR="00551CB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живая конституция, Конституционный Суд РФ.</w:t>
      </w:r>
    </w:p>
    <w:p w14:paraId="4D0F940B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B108CC9" w14:textId="70025C33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 concept of interpretation in constitutional law covers a wide range of meanings,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each of which relates the definition of the meaning of the text to solution of a </w:t>
      </w:r>
      <w:proofErr w:type="gram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particular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task</w:t>
      </w:r>
      <w:proofErr w:type="gram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, and to performance of a certain function. Defining the meaning of a text means not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only to know, describe and explain, to solve and apply, but also to observe interpretation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rules, be a participant or observer of the interpretation process, enter into an interpretation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dialogue, and in some cases, concretize, develop and even shape the law.</w:t>
      </w:r>
    </w:p>
    <w:p w14:paraId="55A4293B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5247972" w14:textId="340B4EB6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interpretation, construction, constitutional law, living constitution,</w:t>
      </w:r>
      <w:r w:rsidR="00551CB4" w:rsidRPr="00551CB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Constitutional Court of the Russian Federation.</w:t>
      </w:r>
    </w:p>
    <w:p w14:paraId="535C7A9E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168755CE" w14:textId="30D76C24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Трибуна молодых ученых</w:t>
      </w:r>
    </w:p>
    <w:p w14:paraId="236BE6D3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CBF101" w14:textId="2780D873" w:rsidR="003F4F93" w:rsidRPr="00551CB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Г.Т.</w:t>
      </w:r>
      <w:proofErr w:type="gramEnd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Батырев, </w:t>
      </w:r>
      <w:r w:rsidRPr="002E48E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магистр юриспруденции, ведущий юрисконсульт Центрального</w:t>
      </w:r>
      <w:r w:rsid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51CB4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банка РФ</w:t>
      </w:r>
      <w:r w:rsidRPr="00551CB4">
        <w:rPr>
          <w:rFonts w:ascii="Times New Roman" w:eastAsia="Newton-Regular" w:hAnsi="Times New Roman" w:cs="Times New Roman"/>
          <w:color w:val="FFFFFF"/>
          <w:sz w:val="24"/>
          <w:szCs w:val="24"/>
          <w:lang w:val="ru-RU"/>
        </w:rPr>
        <w:t>65</w:t>
      </w:r>
    </w:p>
    <w:p w14:paraId="1D62F387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</w:pPr>
    </w:p>
    <w:p w14:paraId="2AD8F474" w14:textId="4906E405" w:rsidR="003F4F93" w:rsidRPr="00551CB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Pacta</w:t>
      </w:r>
      <w:r w:rsidRPr="00551CB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sunt</w:t>
      </w:r>
      <w:r w:rsidRPr="00551CB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</w:rPr>
        <w:t>servanda</w:t>
      </w:r>
      <w:proofErr w:type="spellEnd"/>
      <w:r w:rsidRPr="00551CB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: эволюция</w:t>
      </w:r>
      <w:r w:rsidR="00551CB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1CB4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 неоднозначность внутреннего содержания</w:t>
      </w:r>
    </w:p>
    <w:p w14:paraId="7C221C5B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5015B9A9" w14:textId="3A71166A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Один из центральных принципов договорного права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pacta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sunt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servanda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является общепризнанным в правовой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науке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основывается на ряде философско-правовых теорий, самыми распространенными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которых являются теория обещания,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волевая теория, а также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теория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эффективности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Изучение этих теорий-обоснований позволяет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констатировать отсутствие исторической преемственности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между первоначальным и последующими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значениями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принципа, а также отсутствие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консенсусной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точки зрения в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доктрине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Кроме того, различные основания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pacta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sunt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servanda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имеют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разнонаправленный и подчас взаимоисключающий характер.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Наконец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ни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одна из них н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е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имеет логической связи с правовой природой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договора, а опирается на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более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общие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правовые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философские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понятия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При таких обстоятельствах вполне объяснимой предстает неоднозначность понимания</w:t>
      </w:r>
      <w:r w:rsidR="00551CB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рассмотренного принципа законодателем и правоприменителем, а также практически отсутствующая его имплементация в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позитивном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7EC064F0" w14:textId="77777777" w:rsidR="00551CB4" w:rsidRDefault="00551CB4" w:rsidP="00F33421">
      <w:pPr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7851963" w14:textId="1F75A179" w:rsidR="003F4F93" w:rsidRPr="002E48E4" w:rsidRDefault="003F4F93" w:rsidP="00F33421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>Ключевые слова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pacta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sunt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</w:rPr>
        <w:t>servanda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обещание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обязательство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69726418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66D62467" w14:textId="3483BBA7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One of the central principles of contract law — pacta sunt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servanda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— is universally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recognized in legal doctrine and is based on a number of philosophical and legal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theories, the most common of which are “Promise Theory”, “Theory of Will”, as well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as “Efficiency Theory”. The study of these theories allows us to state the absence of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historical continuity between the original and subsequent meanings of the principle, and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lack of a concurrent point of view within the doctrine. In addition, various foundations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of pacta sunt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servanda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are multidirectional and sometimes mutually exclusive. Finally,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none of them has a logical connection with the legal nature of contract,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but relies on more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general legal and philosophical concepts. Under such circumstances, the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ambiguity of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understanding of the principle by legislators and judges, as well as its practically absent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implementation in positive law, seems</w:t>
      </w:r>
      <w:r w:rsidR="00551CB4" w:rsidRPr="00551CB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quite understandable.</w:t>
      </w:r>
    </w:p>
    <w:p w14:paraId="2E50035A" w14:textId="77777777" w:rsidR="00551CB4" w:rsidRDefault="00551CB4" w:rsidP="00F33421">
      <w:pPr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F2B9F1B" w14:textId="77777777" w:rsidR="00551CB4" w:rsidRDefault="003F4F93" w:rsidP="00F33421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 xml:space="preserve">pacta sunt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</w:rPr>
        <w:t>servanda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</w:rPr>
        <w:t>, promise, commitment.</w:t>
      </w:r>
      <w:r w:rsidR="00551CB4" w:rsidRPr="00551CB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14:paraId="270293E7" w14:textId="77777777" w:rsidR="00551CB4" w:rsidRDefault="00551CB4" w:rsidP="00F33421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0C7451E2" w14:textId="28C37A24" w:rsidR="003F4F93" w:rsidRPr="00551CB4" w:rsidRDefault="003F4F93" w:rsidP="00F33421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Ян </w:t>
      </w:r>
      <w:proofErr w:type="spellStart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Тяньфан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аспирант кафедры предпринимательского права юридического факультета МГУ</w:t>
      </w:r>
    </w:p>
    <w:p w14:paraId="7D04AAE3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CC2726" w14:textId="45B885CD" w:rsidR="003F4F93" w:rsidRPr="00F33421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Корпоративное управление</w:t>
      </w:r>
      <w:r w:rsidR="00551CB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китайской спецификой: роль компартии</w:t>
      </w:r>
      <w:r w:rsidR="00F3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Китая в управлении госпредприятиями</w:t>
      </w:r>
    </w:p>
    <w:p w14:paraId="598C0B5D" w14:textId="77777777" w:rsidR="00551CB4" w:rsidRDefault="00551CB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8D7BEF7" w14:textId="5D5ADE95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Существование в корпорациях </w:t>
      </w:r>
      <w:r w:rsidR="00551CB4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партийной организации</w:t>
      </w:r>
      <w:r w:rsidR="00551CB4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является одной из</w:t>
      </w:r>
      <w:r w:rsid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особенностей корпоративного управления в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Китае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В данной статье рассмотрены проблемы участия компартии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Китая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корпоративном управлении государственными предприятиями. Проанализированы предубеждения и недопонимания</w:t>
      </w:r>
      <w:r w:rsid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правового значения данного участия, обоснованы легитимность, целесообразность и преимущества данного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участия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На основе проведенного исследования</w:t>
      </w:r>
      <w:r w:rsid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 предлагает усовершенствовать законодательство, с тем чтобы сделать</w:t>
      </w:r>
      <w:r w:rsid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статус партийных организаций более определенным в структуре корпоративного управления.</w:t>
      </w:r>
    </w:p>
    <w:p w14:paraId="28F84AA4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CF62BF1" w14:textId="52050FA8" w:rsidR="003F4F93" w:rsidRPr="00F33421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Китай, корпоративное управление, государственное</w:t>
      </w:r>
      <w:r w:rsidR="00F33421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предприятие, Коммунистическая партия Китая, легитимность, корпоратив</w:t>
      </w:r>
      <w:r w:rsidRPr="00F33421">
        <w:rPr>
          <w:rFonts w:ascii="Times New Roman" w:eastAsia="Newton-Regular" w:hAnsi="Times New Roman" w:cs="Times New Roman"/>
          <w:sz w:val="24"/>
          <w:szCs w:val="24"/>
          <w:lang w:val="ru-RU"/>
        </w:rPr>
        <w:t>ная структура.</w:t>
      </w:r>
    </w:p>
    <w:p w14:paraId="71E81AEB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A69B8CA" w14:textId="52D24870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The existence of a “party organization” in corporations is one of the features of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corporate governance in China. This article discusses the problems of the participation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of the Chinese Communist Party in the corporate governance of state-owned enterprises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in China. At the same </w:t>
      </w:r>
      <w:proofErr w:type="gram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time</w:t>
      </w:r>
      <w:proofErr w:type="gram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the prejudices and misunderstandings of the legal significance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of this participation are analyzed, the legitimacy, expediency and advantages of this participation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are justified. Based on the study, the author proposes to improve legislation </w:t>
      </w:r>
      <w:proofErr w:type="gram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in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order to</w:t>
      </w:r>
      <w:proofErr w:type="gram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make the status of party organizations more defined in the structure of corporate</w:t>
      </w:r>
      <w:r w:rsidR="00F33421" w:rsidRPr="00F3342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</w:rPr>
        <w:t>governance.</w:t>
      </w:r>
    </w:p>
    <w:p w14:paraId="5B559624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E834AA6" w14:textId="79482EC2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E48E4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China, corporate governance, state-owned enterprise, Chinese Communist</w:t>
      </w:r>
      <w:r w:rsidR="00F33421" w:rsidRPr="00F3342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E48E4">
        <w:rPr>
          <w:rFonts w:ascii="Times New Roman" w:eastAsia="Newton-Regular" w:hAnsi="Times New Roman" w:cs="Times New Roman"/>
          <w:sz w:val="24"/>
          <w:szCs w:val="24"/>
        </w:rPr>
        <w:t>Party, legitimacy, corporate structure.</w:t>
      </w:r>
    </w:p>
    <w:p w14:paraId="0EDD0007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0EA1445D" w14:textId="6136D02C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Научная жизнь</w:t>
      </w:r>
    </w:p>
    <w:p w14:paraId="5086D52A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4F5B23" w14:textId="70AEFA60" w:rsidR="003F4F93" w:rsidRPr="00F33421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О.Л.</w:t>
      </w:r>
      <w:proofErr w:type="gramEnd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Васильев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доктор юридических наук, профессор кафедры уголовного</w:t>
      </w:r>
      <w:r w:rsid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процесса, правосудия и прокурорского надзора юридического факультета</w:t>
      </w:r>
      <w:r w:rsid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3342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МГУ</w:t>
      </w:r>
    </w:p>
    <w:p w14:paraId="2EB25FBE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2F979936" w14:textId="525C2132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Учение М. С. Строговича о материальной</w:t>
      </w:r>
      <w:r w:rsidR="00F3342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E48E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истине как теоретическая основа для</w:t>
      </w:r>
    </w:p>
    <w:p w14:paraId="73D21F61" w14:textId="44873549" w:rsidR="003F4F93" w:rsidRPr="00F33421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изменения вектора в реформировании</w:t>
      </w:r>
      <w:r w:rsidR="00F3342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342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отечественного уголовного процесса</w:t>
      </w:r>
    </w:p>
    <w:p w14:paraId="2549C280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366BE38B" w14:textId="1214067E" w:rsidR="003F4F93" w:rsidRPr="002E48E4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Наши</w:t>
      </w:r>
      <w:proofErr w:type="spellEnd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>учителя</w:t>
      </w:r>
      <w:proofErr w:type="spellEnd"/>
    </w:p>
    <w:p w14:paraId="7DECE9D2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5EC9EA" w14:textId="2F8A1A44" w:rsidR="002E48E4" w:rsidRPr="00F33421" w:rsidRDefault="002E48E4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Д.Д.</w:t>
      </w:r>
      <w:proofErr w:type="gramEnd"/>
      <w:r w:rsidRPr="002E48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Коновалов</w:t>
      </w:r>
      <w:r w:rsidRPr="002E48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инспектор</w:t>
      </w:r>
      <w:proofErr w:type="spellEnd"/>
      <w:r w:rsidRPr="002E48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 контролю за исполнением поручений, сотрудник музея истории юридического факультета МГУ</w:t>
      </w:r>
    </w:p>
    <w:p w14:paraId="0BE79A52" w14:textId="77777777" w:rsidR="00F33421" w:rsidRDefault="00F33421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13EA85C2" w14:textId="62DB858A" w:rsidR="003F4F93" w:rsidRPr="00F33421" w:rsidRDefault="003F4F93" w:rsidP="00F33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2E48E4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По долгу памяти.</w:t>
      </w:r>
      <w:r w:rsidR="00F3342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3342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Дмитрий Степанович Карев</w:t>
      </w:r>
    </w:p>
    <w:p w14:paraId="79A980C5" w14:textId="77777777" w:rsidR="003F4F93" w:rsidRPr="00F33421" w:rsidRDefault="003F4F93" w:rsidP="00F3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57BADC" w14:textId="1FA870BA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F94B24" w14:textId="45C46710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B2B97D" w14:textId="5582C0BB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28BB59" w14:textId="79A81102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A16519" w14:textId="2DB05529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BFE101" w14:textId="3C27DEC5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9A0B9F" w14:textId="10BCCDB9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2CE875" w14:textId="73DE9775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65643B" w14:textId="75C307AB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0A1BF6" w14:textId="5CDF9B7C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5CCC33" w14:textId="4812866F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BC3C39" w14:textId="77777777" w:rsidR="001F50D3" w:rsidRPr="00F33421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303A95" w14:textId="39443614" w:rsidR="00F72381" w:rsidRPr="00F33421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72381" w:rsidRPr="00F33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5DA7"/>
    <w:rsid w:val="00026E75"/>
    <w:rsid w:val="00040FAA"/>
    <w:rsid w:val="00041D9B"/>
    <w:rsid w:val="0004656D"/>
    <w:rsid w:val="000468D5"/>
    <w:rsid w:val="000575A3"/>
    <w:rsid w:val="00060BC5"/>
    <w:rsid w:val="00094A79"/>
    <w:rsid w:val="000B11F6"/>
    <w:rsid w:val="000B3344"/>
    <w:rsid w:val="000C368D"/>
    <w:rsid w:val="000D7D1A"/>
    <w:rsid w:val="00117044"/>
    <w:rsid w:val="00121AAA"/>
    <w:rsid w:val="00132FA1"/>
    <w:rsid w:val="00134125"/>
    <w:rsid w:val="001450AB"/>
    <w:rsid w:val="001628F7"/>
    <w:rsid w:val="00163605"/>
    <w:rsid w:val="00186181"/>
    <w:rsid w:val="001B351B"/>
    <w:rsid w:val="001C58F5"/>
    <w:rsid w:val="001F50D3"/>
    <w:rsid w:val="00200B4E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E48E4"/>
    <w:rsid w:val="002F1B6B"/>
    <w:rsid w:val="0031535D"/>
    <w:rsid w:val="00334CF7"/>
    <w:rsid w:val="0035538D"/>
    <w:rsid w:val="00366500"/>
    <w:rsid w:val="00366892"/>
    <w:rsid w:val="00366C5D"/>
    <w:rsid w:val="00395AA1"/>
    <w:rsid w:val="003C1349"/>
    <w:rsid w:val="003C1B4C"/>
    <w:rsid w:val="003C485A"/>
    <w:rsid w:val="003D349C"/>
    <w:rsid w:val="003E028C"/>
    <w:rsid w:val="003F4F93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379FA"/>
    <w:rsid w:val="00542501"/>
    <w:rsid w:val="00551CB4"/>
    <w:rsid w:val="00551DFF"/>
    <w:rsid w:val="005734A5"/>
    <w:rsid w:val="0057765B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5A63"/>
    <w:rsid w:val="00976620"/>
    <w:rsid w:val="0097754B"/>
    <w:rsid w:val="00993E1C"/>
    <w:rsid w:val="009961D9"/>
    <w:rsid w:val="009A7B6B"/>
    <w:rsid w:val="009B5E0D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7CA"/>
    <w:rsid w:val="00B61BE9"/>
    <w:rsid w:val="00BB7690"/>
    <w:rsid w:val="00BC0727"/>
    <w:rsid w:val="00BD1558"/>
    <w:rsid w:val="00BF033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369A1"/>
    <w:rsid w:val="00DB141C"/>
    <w:rsid w:val="00DC3BFC"/>
    <w:rsid w:val="00DD4AFC"/>
    <w:rsid w:val="00DD59ED"/>
    <w:rsid w:val="00DE243F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3342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48</cp:revision>
  <dcterms:created xsi:type="dcterms:W3CDTF">2017-04-21T09:27:00Z</dcterms:created>
  <dcterms:modified xsi:type="dcterms:W3CDTF">2020-05-05T02:17:00Z</dcterms:modified>
</cp:coreProperties>
</file>